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511F2C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511F2C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511F2C">
              <w:trPr>
                <w:trHeight w:val="1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511F2C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511F2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511F2C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2018 г.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01.01.2018</w:t>
                  </w:r>
                </w:p>
              </w:tc>
            </w:tr>
            <w:tr w:rsidR="00511F2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511F2C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04031374</w:t>
                  </w:r>
                </w:p>
              </w:tc>
            </w:tr>
            <w:tr w:rsidR="00511F2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  <w:jc w:val="center"/>
                  </w:pPr>
                </w:p>
              </w:tc>
            </w:tr>
            <w:tr w:rsidR="00511F2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  <w:jc w:val="center"/>
                  </w:pPr>
                </w:p>
              </w:tc>
            </w:tr>
            <w:tr w:rsidR="00511F2C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городского округа 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901</w:t>
                  </w:r>
                </w:p>
              </w:tc>
            </w:tr>
            <w:tr w:rsidR="00511F2C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городского округа г</w:t>
                  </w:r>
                  <w:proofErr w:type="gramStart"/>
                  <w:r>
                    <w:rPr>
                      <w:color w:val="000000"/>
                      <w:u w:val="single"/>
                    </w:rPr>
                    <w:t>.Т</w:t>
                  </w:r>
                  <w:proofErr w:type="gramEnd"/>
                  <w:r>
                    <w:rPr>
                      <w:color w:val="000000"/>
                      <w:u w:val="single"/>
                    </w:rPr>
                    <w:t>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  <w:jc w:val="center"/>
                  </w:pPr>
                </w:p>
              </w:tc>
            </w:tr>
            <w:tr w:rsidR="00511F2C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511F2C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36740000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511F2C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spacing w:line="1" w:lineRule="auto"/>
                    <w:jc w:val="center"/>
                  </w:pPr>
                </w:p>
              </w:tc>
            </w:tr>
            <w:tr w:rsidR="00511F2C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511F2C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r>
                          <w:rPr>
                            <w:color w:val="000000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BB77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511F2C" w:rsidRDefault="00511F2C">
            <w:pPr>
              <w:spacing w:line="1" w:lineRule="auto"/>
            </w:pPr>
          </w:p>
        </w:tc>
      </w:tr>
    </w:tbl>
    <w:p w:rsidR="00511F2C" w:rsidRDefault="00511F2C">
      <w:pPr>
        <w:rPr>
          <w:vanish/>
        </w:rPr>
      </w:pPr>
      <w:bookmarkStart w:id="1" w:name="__bookmark_2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511F2C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511F2C" w:rsidRDefault="00511F2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Тольятти,  краткое наименование Администрация г.о. Тольятти,   ИНН 6320001741 КПП 632401001.  Юридический адрес: 445011 г. Тольятти пл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вободы,4. Электронный адрес: </w:t>
            </w:r>
            <w:proofErr w:type="spellStart"/>
            <w:r>
              <w:rPr>
                <w:color w:val="000000"/>
                <w:sz w:val="28"/>
                <w:szCs w:val="28"/>
              </w:rPr>
              <w:t>tim@tgl.ru</w:t>
            </w:r>
            <w:proofErr w:type="spellEnd"/>
            <w:r>
              <w:rPr>
                <w:color w:val="000000"/>
                <w:sz w:val="28"/>
                <w:szCs w:val="28"/>
              </w:rPr>
              <w:t>. Телефон (факс)   (8482)    54-30-74. Лица, имею</w:t>
            </w:r>
            <w:r>
              <w:rPr>
                <w:color w:val="000000"/>
                <w:sz w:val="28"/>
                <w:szCs w:val="28"/>
              </w:rPr>
              <w:t>щие право первой подписи:  -</w:t>
            </w:r>
            <w:r>
              <w:rPr>
                <w:color w:val="000000"/>
                <w:sz w:val="28"/>
                <w:szCs w:val="28"/>
              </w:rPr>
              <w:tab/>
              <w:t xml:space="preserve">глава городского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Анташев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С.А.;  -</w:t>
            </w:r>
            <w:r>
              <w:rPr>
                <w:color w:val="000000"/>
                <w:sz w:val="28"/>
                <w:szCs w:val="28"/>
              </w:rPr>
              <w:tab/>
              <w:t xml:space="preserve">первый заместитель главы городского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Ладыка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И.Н.; -</w:t>
            </w:r>
            <w:r>
              <w:rPr>
                <w:color w:val="000000"/>
                <w:sz w:val="28"/>
                <w:szCs w:val="28"/>
              </w:rPr>
              <w:tab/>
              <w:t xml:space="preserve">заместитель главы городского округа - руководитель аппарата </w:t>
            </w:r>
            <w:proofErr w:type="spellStart"/>
            <w:r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 Лица, имеющие право второй подписи:  -</w:t>
            </w:r>
            <w:r>
              <w:rPr>
                <w:color w:val="000000"/>
                <w:sz w:val="28"/>
                <w:szCs w:val="28"/>
              </w:rPr>
              <w:tab/>
              <w:t>руководитель упр</w:t>
            </w:r>
            <w:r>
              <w:rPr>
                <w:color w:val="000000"/>
                <w:sz w:val="28"/>
                <w:szCs w:val="28"/>
              </w:rPr>
              <w:t>авления бухгалтерии Любченко М.Н.; -</w:t>
            </w:r>
            <w:r>
              <w:rPr>
                <w:color w:val="000000"/>
                <w:sz w:val="28"/>
                <w:szCs w:val="28"/>
              </w:rPr>
              <w:tab/>
              <w:t>заместитель руководителя управления бухгалтерии Видяева И.А.  Администрация городского округа Тольятти – исполнительно - распорядительный орган, осуществляющий административную деятельность, являющийся главным распоряди</w:t>
            </w:r>
            <w:r>
              <w:rPr>
                <w:color w:val="000000"/>
                <w:sz w:val="28"/>
                <w:szCs w:val="28"/>
              </w:rPr>
              <w:t>телем бюджетных средств (далее ГРБС). Администрация – ГРБС не оказывает услуги населению.  Сведения об основных направлениях деятельности (Таблица N 1); Сведения о количестве подведомственных участников бюджетного процесса, учреждений и государственных (му</w:t>
            </w:r>
            <w:r>
              <w:rPr>
                <w:color w:val="000000"/>
                <w:sz w:val="28"/>
                <w:szCs w:val="28"/>
              </w:rPr>
              <w:t>ниципальных) унитарных предприятий (ф. 0503161).</w:t>
            </w: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Сведения о мерах по повышению эффективности расходования бюджетных средств:  - в результате повышения эффективности распределения бюдже</w:t>
            </w:r>
            <w:r>
              <w:rPr>
                <w:color w:val="000000"/>
                <w:sz w:val="28"/>
                <w:szCs w:val="28"/>
              </w:rPr>
              <w:t>тных средств и качества бюджетного планирования, совершенствования системы финансового контроля, в соответствии с Постановлением мэрии городского округа Тольятти от 20.05.2015г. № 1627-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п/1 «Об утверждении муниципальной программы по повышению эффективности </w:t>
            </w:r>
            <w:r>
              <w:rPr>
                <w:color w:val="000000"/>
                <w:sz w:val="28"/>
                <w:szCs w:val="28"/>
              </w:rPr>
              <w:t>бюджетных расходов городского округа Тольятти на 2015-2020 годы», бюджетные средства использованы по целевому назначению, отсутствует просроченная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кредиторская задолженность, своевременно размещена информация в рамках раздела "Бюджет для граждан" на официа</w:t>
            </w:r>
            <w:r>
              <w:rPr>
                <w:color w:val="000000"/>
                <w:sz w:val="28"/>
                <w:szCs w:val="28"/>
              </w:rPr>
              <w:t xml:space="preserve">льном портале администрации городского округа Тольятти; -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результате повышения эффективности контроля за осуществлением командировочных расходов, в соответствии с Постановлением мэрии городского округа Тольятти от 26.08.2015г. № 2782-п/1 «Об утверждении </w:t>
            </w:r>
            <w:r>
              <w:rPr>
                <w:color w:val="000000"/>
                <w:sz w:val="28"/>
                <w:szCs w:val="28"/>
              </w:rPr>
              <w:t>Положения о порядке и размерах возмещения расходов, связанных со служебными командировками, лицам, работающим в органах местного самоуправления городского округа Тольятти, и работникам муниципальных учреждений городского округа Тольятти», произведена эконо</w:t>
            </w:r>
            <w:r>
              <w:rPr>
                <w:color w:val="000000"/>
                <w:sz w:val="28"/>
                <w:szCs w:val="28"/>
              </w:rPr>
              <w:t>мия бюджетных средств;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color w:val="000000"/>
                <w:sz w:val="28"/>
                <w:szCs w:val="28"/>
              </w:rPr>
              <w:t>в результате проведения инвентаризации финансовых обязательств, в соответствии с Распоряжением администрации городского округа Тольятти от 01.11.2017г. № 9253-р/1 «О проведении инвентаризации финансовых обязательств по состоянию на</w:t>
            </w:r>
            <w:r>
              <w:rPr>
                <w:color w:val="000000"/>
                <w:sz w:val="28"/>
                <w:szCs w:val="28"/>
              </w:rPr>
              <w:t xml:space="preserve"> 01.11.2017 г. по главному распорядителю бюджетных средств - администрации городского округа Тольятти», выявлено отсутствие расхождений между данными бухгалтерского учета и фактическими данными, отсутствие просроченной кредиторская задолженности.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Среднеспи</w:t>
            </w:r>
            <w:r>
              <w:rPr>
                <w:color w:val="000000"/>
                <w:sz w:val="28"/>
                <w:szCs w:val="28"/>
              </w:rPr>
              <w:t>сочная численность работников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по состоянию на 01.01.2018г. – 1015 человек. Выплата заработной платы работникам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осуществляется в соответствии с Трудовым Кодексом РФ, в сроки, указанные в коллективном дог</w:t>
            </w:r>
            <w:r>
              <w:rPr>
                <w:color w:val="000000"/>
                <w:sz w:val="28"/>
                <w:szCs w:val="28"/>
              </w:rPr>
              <w:t>оворе. Количество работников бухгалтерии (управление)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ольятти - 13 человек.  В 2017 году работник бухгалтерии проходил обучение на курсах повышения квалификации по профессиональной программе «Психологическое обеспечение профессиональной </w:t>
            </w:r>
            <w:r>
              <w:rPr>
                <w:color w:val="000000"/>
                <w:sz w:val="28"/>
                <w:szCs w:val="28"/>
              </w:rPr>
              <w:t xml:space="preserve">деятельности муниципального служащего». Компьютерная техника установлена на все рабочие места работников бухгалтерии. Вся компьютерная техника в рабочем состоянии. По состоянию на 31.12.2017г. на балансе администрации (ГРБС) основные средства, в том числе </w:t>
            </w:r>
            <w:r>
              <w:rPr>
                <w:color w:val="000000"/>
                <w:sz w:val="28"/>
                <w:szCs w:val="28"/>
              </w:rPr>
              <w:t>иное движимое имущество, а также материальные запасы не числятся.</w:t>
            </w: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текстовых статей закона (решения) о бюджете (ТаблицаN3). Сведения об изменениях бюджетной росписи главного распорядителя бюджетных средств (ф. 0503163). Сведения об исполнении бюджета (ф. 0503164). В соответствии с постановлением мэр</w:t>
            </w:r>
            <w:r>
              <w:rPr>
                <w:color w:val="000000"/>
                <w:sz w:val="28"/>
                <w:szCs w:val="28"/>
              </w:rPr>
              <w:t xml:space="preserve">ии городского округа Тольятти от 23.09.2014 г. № 3528-п/1 «Об утверждении Порядка составления и ведения кассового плана исполнения бюджета городского округа Тольятти в текущем финансовом году», кассовое исполнение </w:t>
            </w:r>
            <w:r>
              <w:rPr>
                <w:color w:val="000000"/>
                <w:sz w:val="28"/>
                <w:szCs w:val="28"/>
              </w:rPr>
              <w:lastRenderedPageBreak/>
              <w:t>расходов по администрации (ГРБС) на 01.01.</w:t>
            </w:r>
            <w:r>
              <w:rPr>
                <w:color w:val="000000"/>
                <w:sz w:val="28"/>
                <w:szCs w:val="28"/>
              </w:rPr>
              <w:t>2018г. составило 99,8% от утвержденных бюджетных назначений.</w:t>
            </w: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по дебиторской и кредиторской задолженности (ф. 0503169). Сведения об изменении остатков валют</w:t>
            </w:r>
            <w:r>
              <w:rPr>
                <w:color w:val="000000"/>
                <w:sz w:val="28"/>
                <w:szCs w:val="28"/>
              </w:rPr>
              <w:t>ы баланса (ф. 0503173); Сведения о принятых и неисполненных обязательствах получателя бюджетных средств (ф. 0503175). По данным бухгалтерского учета Администрации (ГРБС) на 01.01.2018г. не исполнены бюджетные обязательства, в связи с экономией по фонду опл</w:t>
            </w:r>
            <w:r>
              <w:rPr>
                <w:color w:val="000000"/>
                <w:sz w:val="28"/>
                <w:szCs w:val="28"/>
              </w:rPr>
              <w:t xml:space="preserve">аты труда, сложившейся по причине временной нетрудоспособности работников в течение года, наличия у работников отпусков без сохранения заработной платы.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форме 0503130 «Баланс главного распорядителя, распорядителя, получателя бюджетных средств, главного </w:t>
            </w:r>
            <w:r>
              <w:rPr>
                <w:color w:val="000000"/>
                <w:sz w:val="28"/>
                <w:szCs w:val="28"/>
              </w:rPr>
              <w:t>администратора, администратора источников финансирования дефицита бюджета, главного администратора, администратора доходов бюджета» по счету 40160 «Резервы предстоящих расходов» в Администрации (ГРБС) сформирован резерв по сумме предстоящей оплаты отпусков</w:t>
            </w:r>
            <w:r>
              <w:rPr>
                <w:color w:val="000000"/>
                <w:sz w:val="28"/>
                <w:szCs w:val="28"/>
              </w:rPr>
              <w:t xml:space="preserve"> за фактически отработанное время, компенсаций за неиспользованный отпуск, в том числе при увольнении, включая платежи на обязательное страхование работников, на основании учетной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политикой Администрации (ГРБС), в соответствии с п.302.1 Приказа Минфина Рос</w:t>
            </w:r>
            <w:r>
              <w:rPr>
                <w:color w:val="000000"/>
                <w:sz w:val="28"/>
                <w:szCs w:val="28"/>
              </w:rPr>
              <w:t>сии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</w:t>
            </w:r>
            <w:r>
              <w:rPr>
                <w:color w:val="000000"/>
                <w:sz w:val="28"/>
                <w:szCs w:val="28"/>
              </w:rPr>
              <w:t>кадемий наук, государственных (муниципальных) учреждений и Инструкции по его применению", в том числе по статье 211 в сумме 57 448 020,32 руб.,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статье 213 в сумме 17 554 663,08 руб.  Форма 0503169 «Сведения о текущей дебиторской задолженности» (бюджетна</w:t>
            </w:r>
            <w:r>
              <w:rPr>
                <w:color w:val="000000"/>
                <w:sz w:val="28"/>
                <w:szCs w:val="28"/>
              </w:rPr>
              <w:t>я деятельность).     Дебиторская задолженность по состоянию на 01.01.2018г  составила 2 139 414,73 руб., в том числе: -</w:t>
            </w:r>
            <w:r>
              <w:rPr>
                <w:color w:val="000000"/>
                <w:sz w:val="28"/>
                <w:szCs w:val="28"/>
              </w:rPr>
              <w:tab/>
              <w:t xml:space="preserve">Счет 1 209 30 000 «Расчеты по компенсации затрат» - в сумме 2 125 056,67 руб., просроченная дебиторская задолженность ООО «ФСК </w:t>
            </w:r>
            <w:proofErr w:type="spellStart"/>
            <w:r>
              <w:rPr>
                <w:color w:val="000000"/>
                <w:sz w:val="28"/>
                <w:szCs w:val="28"/>
              </w:rPr>
              <w:t>Стройэнер</w:t>
            </w:r>
            <w:r>
              <w:rPr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color w:val="000000"/>
                <w:sz w:val="28"/>
                <w:szCs w:val="28"/>
              </w:rPr>
              <w:t>», основание - постановление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от 16.02.2017г. № 600-п/1 «О принятии к бюджетному учету просроченной дебиторской задолженности». -</w:t>
            </w:r>
            <w:r>
              <w:rPr>
                <w:color w:val="000000"/>
                <w:sz w:val="28"/>
                <w:szCs w:val="28"/>
              </w:rPr>
              <w:tab/>
              <w:t>Счет 1 303 02 000 «Расчеты по страховым взносам на обязательное социальное страхование на случай в</w:t>
            </w:r>
            <w:r>
              <w:rPr>
                <w:color w:val="000000"/>
                <w:sz w:val="28"/>
                <w:szCs w:val="28"/>
              </w:rPr>
              <w:t>ременной нетрудоспособности и в связи с материнством» - в сумме 14 358,06 руб., задолженность фонда социального страхования по возмещению расходов страхователя в части выплат пособия по уходу за детьми-инвалидами за декабрь 2017г. Форма 0503169 «Сведения о</w:t>
            </w:r>
            <w:r>
              <w:rPr>
                <w:color w:val="000000"/>
                <w:sz w:val="28"/>
                <w:szCs w:val="28"/>
              </w:rPr>
              <w:t xml:space="preserve"> текущей кредиторской задолженности» (бюджетная деятельность). Кредиторская задолженность по состоянию на 01.01.2018г отсутствует.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К денежным </w:t>
            </w:r>
            <w:r>
              <w:rPr>
                <w:color w:val="000000"/>
                <w:sz w:val="28"/>
                <w:szCs w:val="28"/>
              </w:rPr>
              <w:lastRenderedPageBreak/>
              <w:t>расчетам по счетам 1 302 11 000, 1 302 63 000 отнесены суммы возвратов денежных средств банком в размере 471 926,5</w:t>
            </w:r>
            <w:r>
              <w:rPr>
                <w:color w:val="000000"/>
                <w:sz w:val="28"/>
                <w:szCs w:val="28"/>
              </w:rPr>
              <w:t>1 руб.; по счету 1 302 13 000 - сумма, перечисленная в ФСС на основании Претензии от 23.06.2017г. № 09-12/09/9092, в размере 542,23 руб. Просроченная кредиторская задолженность по состоянию на 01.01.2018г. – отсутствует.</w:t>
            </w:r>
            <w:proofErr w:type="gramEnd"/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511F2C" w:rsidRDefault="00B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1F2C" w:rsidRDefault="00BB7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предоставляет налоговую отчетность в электронном виде в программе «СБИС++». Бюджетная отчетность предоставляется посредством программы WEB-Консолидация. Веден</w:t>
            </w:r>
            <w:r>
              <w:rPr>
                <w:color w:val="000000"/>
                <w:sz w:val="28"/>
                <w:szCs w:val="28"/>
              </w:rPr>
              <w:t xml:space="preserve">ие бухгалтерского учета бухгалтерией администрации осуществляется в программном продукте "ПАРУС-БЮДЖЕТ".  </w:t>
            </w:r>
            <w:proofErr w:type="gramStart"/>
            <w:r>
              <w:rPr>
                <w:color w:val="000000"/>
                <w:sz w:val="28"/>
                <w:szCs w:val="28"/>
              </w:rPr>
              <w:t>Сведения об особенностях ведения бюджетного учета (Таблица N 4) не заполнены в связи с отсутствием числовых значений, так как бюджетный учет в админис</w:t>
            </w:r>
            <w:r>
              <w:rPr>
                <w:color w:val="000000"/>
                <w:sz w:val="28"/>
                <w:szCs w:val="28"/>
              </w:rPr>
              <w:t xml:space="preserve">трации осуществляется в соответствии с Приказом Министерства финансов РФ от 01.12.2010г. № 157н "Об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</w:t>
            </w:r>
            <w:r>
              <w:rPr>
                <w:color w:val="000000"/>
                <w:sz w:val="28"/>
                <w:szCs w:val="28"/>
              </w:rPr>
              <w:t>управления государственными внебюджетными фондами, государственных академий наук, государственных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учреждений и инструкции по его применению", распоряжением Мэрии городского округа Тольятти от 31.12.2013 N 9097-р/1 "Об утверждении Положения </w:t>
            </w:r>
            <w:r>
              <w:rPr>
                <w:color w:val="000000"/>
                <w:sz w:val="28"/>
                <w:szCs w:val="28"/>
              </w:rPr>
              <w:t xml:space="preserve">об учетной политике мэрии городского округа Тольятти". Сведения о результатах мероприятий внутреннего государственного (муниципального) финансового контроля (Таблица N 5). Корреспонденция счетов бюджетного учета осуществляется в соответствии с Инструкцией </w:t>
            </w:r>
            <w:r>
              <w:rPr>
                <w:color w:val="000000"/>
                <w:sz w:val="28"/>
                <w:szCs w:val="28"/>
              </w:rPr>
              <w:t>по применению Плана счетов бюджетного учета, утвержденной Приказом Министерства финансов Российской Федерации «Об утверждении Плана счетов бюджетного учета и Инструкции по его применению» от 06 декабря 2010г. № 162н. Бухгалтерская отчетность составлена в с</w:t>
            </w:r>
            <w:r>
              <w:rPr>
                <w:color w:val="000000"/>
                <w:sz w:val="28"/>
                <w:szCs w:val="28"/>
              </w:rPr>
              <w:t>оответствии с Приказом Минфина России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2017 году, в целях п</w:t>
            </w:r>
            <w:r>
              <w:rPr>
                <w:color w:val="000000"/>
                <w:sz w:val="28"/>
                <w:szCs w:val="28"/>
              </w:rPr>
              <w:t>роверки полноты и правильности отражения в бухгалтерском учете финансовых обязательств, в соответствии с требованиями Федерального закона от 06.12.2011г. №402-ФЗ «О бухгалтерском учете», проведена инвентаризация финансовых обязательств главного распорядите</w:t>
            </w:r>
            <w:r>
              <w:rPr>
                <w:color w:val="000000"/>
                <w:sz w:val="28"/>
                <w:szCs w:val="28"/>
              </w:rPr>
              <w:t>ля бюджетных средств -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на основании распоряжения администрации от 01.11.2017г.  № 9253-р/1 «О проведении инвентаризации финансовых обязательств по состоянию на 01.11.2017 г. по главному распорядителю бюджетных средств администрац</w:t>
            </w:r>
            <w:r>
              <w:rPr>
                <w:color w:val="000000"/>
                <w:sz w:val="28"/>
                <w:szCs w:val="28"/>
              </w:rPr>
              <w:t xml:space="preserve">ии городского округа Тольятти».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Сведения о проведении инвентаризаций (Таблица N 6) не заполнены в связи с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отсутствием числовых значений, на основании данных, отраженных в Протоколе заседания членов инвентаризационной комиссии о подведении итогов инвентариз</w:t>
            </w:r>
            <w:r>
              <w:rPr>
                <w:color w:val="000000"/>
                <w:sz w:val="28"/>
                <w:szCs w:val="28"/>
              </w:rPr>
              <w:t>ации финансовых обязательств по состоянию на 01.11.2017 г. по главному распорядителю бюджетных средств администрации городского округа Тольятти от 20.11.2017 г. № 1, где установлено, что на момент проведения инвентаризации расхождений между данными бухгалт</w:t>
            </w:r>
            <w:r>
              <w:rPr>
                <w:color w:val="000000"/>
                <w:sz w:val="28"/>
                <w:szCs w:val="28"/>
              </w:rPr>
              <w:t>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фактическими данными не выявлено. Сведения о результатах внешнего государственного (муниципального) финансового контроля (Таблица N 7). Форма 0503162 «Сведения о результатах деятельности» не заполнена в связи с тем, что не разработаны показ</w:t>
            </w:r>
            <w:r>
              <w:rPr>
                <w:color w:val="000000"/>
                <w:sz w:val="28"/>
                <w:szCs w:val="28"/>
              </w:rPr>
              <w:t>атели, характеризующие результаты деятельности Администрации (ГРБС). Форма 0503167 «Сведения о целевых иностранных кредитах» не заполнена в связи с тем, что иностранные кредиты Администрации (ГРБС) не предоставлялись. Форма 0503168 «Сведения о движении неф</w:t>
            </w:r>
            <w:r>
              <w:rPr>
                <w:color w:val="000000"/>
                <w:sz w:val="28"/>
                <w:szCs w:val="28"/>
              </w:rPr>
              <w:t>инансовых активов» не заполнена в связи с тем, что по данным бухгалтерского учета Администрации (ГРБС) по состоянию на 01.01.2018г. на балансе Администрации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ГРБС) </w:t>
            </w:r>
            <w:proofErr w:type="gramEnd"/>
            <w:r>
              <w:rPr>
                <w:color w:val="000000"/>
                <w:sz w:val="28"/>
                <w:szCs w:val="28"/>
              </w:rPr>
              <w:t>нефинансовые активы не числятся. Форма 0503171 «Сведения о финансовых вложениях получателя б</w:t>
            </w:r>
            <w:r>
              <w:rPr>
                <w:color w:val="000000"/>
                <w:sz w:val="28"/>
                <w:szCs w:val="28"/>
              </w:rPr>
              <w:t>юджетных средств, администратора источников финансирования дефицита бюджета» не заполнена в связи с тем, что финансовые вложения Администрацией (ГРБС) не осуществлялись. Форма 0503172 «Сведения о государственном (муниципальном) долге, предоставленных бюдже</w:t>
            </w:r>
            <w:r>
              <w:rPr>
                <w:color w:val="000000"/>
                <w:sz w:val="28"/>
                <w:szCs w:val="28"/>
              </w:rPr>
              <w:t>тных кредитах» не заполнена в связи с тем, что по данным бухгалтерского учета Администрации (ГРБС) муниципальные долги отсутствуют. Форма 0503174 «Сведения о доходах бюджета от перечисления части прибыли (дивидендов) государственных (муниципальных) унитарн</w:t>
            </w:r>
            <w:r>
              <w:rPr>
                <w:color w:val="000000"/>
                <w:sz w:val="28"/>
                <w:szCs w:val="28"/>
              </w:rPr>
              <w:t>ых предприятий, иных организаций с государственным участием в капитале» не заполнена в связи с тем, что Администрация (ГРБС) не является получателем данных доходов. Форма 0503177 «Сведения об использовании информационно-коммуникационных технологий» не запо</w:t>
            </w:r>
            <w:r>
              <w:rPr>
                <w:color w:val="000000"/>
                <w:sz w:val="28"/>
                <w:szCs w:val="28"/>
              </w:rPr>
              <w:t>лнена в связи с тем, что по данным бухгалтерского учета Администрации (ГРБС) в 2017 году расходы на использование информационно-коммуникационных технологий не производились. Форма 0503178 «Сведения об остатках денежных средств на счетах получателя бюджетны</w:t>
            </w:r>
            <w:r>
              <w:rPr>
                <w:color w:val="000000"/>
                <w:sz w:val="28"/>
                <w:szCs w:val="28"/>
              </w:rPr>
              <w:t>х средств» не заполнена в связи с тем, что по данным бухгалтерского учета Администрации (ГРБС) по состоянию на 01.01.2018г. остатки денежных средств на счетах получателя бюджетных средств отсутствуют. Форма 0503184 «Справка о суммах консолидируемых поступл</w:t>
            </w:r>
            <w:r>
              <w:rPr>
                <w:color w:val="000000"/>
                <w:sz w:val="28"/>
                <w:szCs w:val="28"/>
              </w:rPr>
              <w:t>ений, подлежащих зачислению на счет бюджета» не заполнена в связи с тем, что Администрация (ГРБС) не является администратором доходов бюджета, администратором источников финансирования дефицита бюджета. Форма 0503190 «Сведения о вложениях в объекты недвижи</w:t>
            </w:r>
            <w:r>
              <w:rPr>
                <w:color w:val="000000"/>
                <w:sz w:val="28"/>
                <w:szCs w:val="28"/>
              </w:rPr>
              <w:t xml:space="preserve">мого имущества, объектах незавершенного строительства» не заполнена в связи с тем, что по данным бухгалтерского учета Администрации (ГРБС) в 2017 году вложения в объекты недвижимого имущества Администрацией (ГРБС) </w:t>
            </w:r>
            <w:r>
              <w:rPr>
                <w:color w:val="000000"/>
                <w:sz w:val="28"/>
                <w:szCs w:val="28"/>
              </w:rPr>
              <w:lastRenderedPageBreak/>
              <w:t>не осуществлялись, по состоянию на 01.01.2</w:t>
            </w:r>
            <w:r>
              <w:rPr>
                <w:color w:val="000000"/>
                <w:sz w:val="28"/>
                <w:szCs w:val="28"/>
              </w:rPr>
              <w:t>018г. на балансе Администрации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ГРБС) </w:t>
            </w:r>
            <w:proofErr w:type="gramEnd"/>
            <w:r>
              <w:rPr>
                <w:color w:val="000000"/>
                <w:sz w:val="28"/>
                <w:szCs w:val="28"/>
              </w:rPr>
              <w:t>объекты незавершенного строительства не числятся.  Форма 0503296 «Сведения об исполнении судебных решений по денежным обязательствам бюджета» не заполнена в связи с тем, что по данным бухгалтерского учета Администрации</w:t>
            </w:r>
            <w:r>
              <w:rPr>
                <w:color w:val="000000"/>
                <w:sz w:val="28"/>
                <w:szCs w:val="28"/>
              </w:rPr>
              <w:t xml:space="preserve"> (ГРБС) судебные решения об исполнении денежных обязательств бюджета отсутствуют.</w:t>
            </w:r>
          </w:p>
        </w:tc>
      </w:tr>
      <w:tr w:rsidR="00511F2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</w:tbl>
    <w:p w:rsidR="00511F2C" w:rsidRDefault="00511F2C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511F2C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511F2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511F2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bookmarkStart w:id="2" w:name="__bookmark_3"/>
                        <w:bookmarkEnd w:id="2"/>
                        <w:r>
                          <w:rPr>
                            <w:color w:val="000000"/>
                          </w:rPr>
                          <w:t>мэр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511F2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С.И. Андреев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511F2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511F2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511F2C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511F2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r>
                          <w:rPr>
                            <w:color w:val="000000"/>
                          </w:rPr>
                          <w:t>руководитель управления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11F2C" w:rsidRDefault="00511F2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511F2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М.Н. Любченко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BB77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  <w:tr w:rsidR="00511F2C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0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27"/>
                  </w:tblGrid>
                  <w:tr w:rsidR="00511F2C">
                    <w:tc>
                      <w:tcPr>
                        <w:tcW w:w="7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1F2C" w:rsidRDefault="00BB7718">
                        <w:r>
                          <w:rPr>
                            <w:color w:val="000000"/>
                          </w:rPr>
                          <w:t>26 апреля 2019 г.</w:t>
                        </w:r>
                      </w:p>
                    </w:tc>
                  </w:tr>
                </w:tbl>
                <w:p w:rsidR="00511F2C" w:rsidRDefault="00511F2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F2C" w:rsidRDefault="00511F2C">
                  <w:pPr>
                    <w:spacing w:line="1" w:lineRule="auto"/>
                  </w:pPr>
                </w:p>
              </w:tc>
            </w:tr>
          </w:tbl>
          <w:p w:rsidR="00511F2C" w:rsidRDefault="00511F2C">
            <w:pPr>
              <w:spacing w:line="1" w:lineRule="auto"/>
            </w:pPr>
          </w:p>
        </w:tc>
      </w:tr>
    </w:tbl>
    <w:p w:rsidR="00511F2C" w:rsidRDefault="00511F2C">
      <w:pPr>
        <w:sectPr w:rsidR="00511F2C">
          <w:headerReference w:type="default" r:id="rId6"/>
          <w:footerReference w:type="default" r:id="rId7"/>
          <w:pgSz w:w="11055" w:h="16837"/>
          <w:pgMar w:top="1133" w:right="566" w:bottom="1133" w:left="1133" w:header="1133" w:footer="1133" w:gutter="0"/>
          <w:cols w:space="720"/>
        </w:sectPr>
      </w:pPr>
    </w:p>
    <w:p w:rsidR="00511F2C" w:rsidRDefault="00511F2C">
      <w:pPr>
        <w:rPr>
          <w:vanish/>
        </w:rPr>
      </w:pPr>
      <w:bookmarkStart w:id="3" w:name="__bookmark_5"/>
      <w:bookmarkEnd w:id="3"/>
    </w:p>
    <w:tbl>
      <w:tblPr>
        <w:tblOverlap w:val="never"/>
        <w:tblW w:w="9348" w:type="dxa"/>
        <w:tblLayout w:type="fixed"/>
        <w:tblLook w:val="01E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511F2C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</w:tbl>
    <w:p w:rsidR="00511F2C" w:rsidRDefault="00511F2C">
      <w:pPr>
        <w:rPr>
          <w:vanish/>
        </w:rPr>
      </w:pPr>
      <w:bookmarkStart w:id="4" w:name="__bookmark_6"/>
      <w:bookmarkEnd w:id="4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Исполнительно-распорядительный орган городского округа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 городского округа Тольятти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</w:tbl>
    <w:p w:rsidR="00511F2C" w:rsidRDefault="00511F2C">
      <w:pPr>
        <w:sectPr w:rsidR="00511F2C">
          <w:headerReference w:type="default" r:id="rId8"/>
          <w:footerReference w:type="default" r:id="rId9"/>
          <w:pgSz w:w="11055" w:h="16837"/>
          <w:pgMar w:top="1133" w:right="566" w:bottom="1133" w:left="1133" w:header="1133" w:footer="1133" w:gutter="0"/>
          <w:cols w:space="720"/>
        </w:sectPr>
      </w:pPr>
    </w:p>
    <w:p w:rsidR="00511F2C" w:rsidRDefault="00511F2C">
      <w:pPr>
        <w:rPr>
          <w:vanish/>
        </w:rPr>
      </w:pPr>
      <w:bookmarkStart w:id="5" w:name="__bookmark_8"/>
      <w:bookmarkEnd w:id="5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Думы городского округа Тольятти  от 07.12.2016г. № 1274 "О бюджете городского округа Тольятти на 2017 год и на плановый период 2018 и 2019 годов"  27.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Установить, что получатели бюджетных средств, муниципальные бюджетные учреждения городского округ</w:t>
            </w:r>
            <w:r>
              <w:rPr>
                <w:color w:val="000000"/>
                <w:sz w:val="16"/>
                <w:szCs w:val="16"/>
              </w:rPr>
              <w:t>а при заключении договоров (муниципальных контрактов) на поставку товаров, выполнение работ, оказания услуг вправе предусматривать авансовые платежи: 1) в размере 100 процентов суммы договора (муниципального контракта) - по договорам (муниципальным контрак</w:t>
            </w:r>
            <w:r>
              <w:rPr>
                <w:color w:val="000000"/>
                <w:sz w:val="16"/>
                <w:szCs w:val="16"/>
              </w:rPr>
              <w:t>там) об оказании услуг связи, о подписке на печатные или электронные издания и об их приобретении, об обучении на курсах повышения квалификации</w:t>
            </w:r>
            <w:proofErr w:type="gramEnd"/>
            <w:r>
              <w:rPr>
                <w:color w:val="000000"/>
                <w:sz w:val="16"/>
                <w:szCs w:val="16"/>
              </w:rPr>
              <w:t>, о приобретении ави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>, железнодорожных билетов, билетов для проезда городским и пригородным транспортом, путевок</w:t>
            </w:r>
            <w:r>
              <w:rPr>
                <w:color w:val="000000"/>
                <w:sz w:val="16"/>
                <w:szCs w:val="16"/>
              </w:rPr>
              <w:t xml:space="preserve"> на санаторно-курортное лечение, по договорам обязательного страхования гражданской ответственности владельцев транспортных средств, владельца опасного объекта, о проведении государственной экспертизы проектной документации и результатов инженерных изыскан</w:t>
            </w:r>
            <w:r>
              <w:rPr>
                <w:color w:val="000000"/>
                <w:sz w:val="16"/>
                <w:szCs w:val="16"/>
              </w:rPr>
              <w:t xml:space="preserve">ий, по договорам (муниципальным контрактам) на приобретение жилых помещений (квартир) в муниципальную собственность посредством участия в долевом строительстве многоквартирного жилого дома в целях </w:t>
            </w:r>
            <w:proofErr w:type="gramStart"/>
            <w:r>
              <w:rPr>
                <w:color w:val="000000"/>
                <w:sz w:val="16"/>
                <w:szCs w:val="16"/>
              </w:rPr>
              <w:t>формирования специализированного муниципального фонда для п</w:t>
            </w:r>
            <w:r>
              <w:rPr>
                <w:color w:val="000000"/>
                <w:sz w:val="16"/>
                <w:szCs w:val="16"/>
              </w:rPr>
              <w:t>редоставления в дальнейшем детям-сиротам и детям, оставшимся без попечения родителей, лицам из их числа, по договорам найма специализированных жилых помещений, по договорам о проведении проверки достоверности сметной документации по работам. 2) в размере д</w:t>
            </w:r>
            <w:r>
              <w:rPr>
                <w:color w:val="000000"/>
                <w:sz w:val="16"/>
                <w:szCs w:val="16"/>
              </w:rPr>
              <w:t>о 30 процентов суммы договора (муниципального контракта) - по остальным договорам (муниципальным контрактам), если иное не предусмотрено законодательством Российской Федерации.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командировочных расходов работникам администрации городского округа Тольятти осуществлялась согласно требованиям п.27 Решения Думы городского округа Тольятти  от 07.12.2016г. № 1274 "О бюджете городского округа Тольятти на 2017 год и на  плановый пе</w:t>
            </w:r>
            <w:r>
              <w:rPr>
                <w:color w:val="000000"/>
                <w:sz w:val="16"/>
                <w:szCs w:val="16"/>
              </w:rPr>
              <w:t>риод 2018 и 2019 годов"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</w:tbl>
    <w:p w:rsidR="00511F2C" w:rsidRDefault="00511F2C">
      <w:pPr>
        <w:sectPr w:rsidR="00511F2C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:rsidR="00511F2C" w:rsidRDefault="00511F2C">
      <w:pPr>
        <w:rPr>
          <w:vanish/>
        </w:rPr>
      </w:pPr>
      <w:bookmarkStart w:id="6" w:name="__bookmark_12"/>
      <w:bookmarkEnd w:id="6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направленные на предупреждение и пресечение ошибок и (или) незаконных действий работников администрации до совершения факта хозяйственной жизни администрации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направленные на установление законности действий работников администрации после совершения факта хозяйственной жизни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</w:tbl>
    <w:p w:rsidR="00511F2C" w:rsidRDefault="00511F2C">
      <w:pPr>
        <w:sectPr w:rsidR="00511F2C">
          <w:headerReference w:type="default" r:id="rId12"/>
          <w:footerReference w:type="default" r:id="rId13"/>
          <w:pgSz w:w="11055" w:h="16837"/>
          <w:pgMar w:top="1133" w:right="566" w:bottom="1133" w:left="1133" w:header="1133" w:footer="1133" w:gutter="0"/>
          <w:cols w:space="720"/>
        </w:sectPr>
      </w:pPr>
    </w:p>
    <w:p w:rsidR="00511F2C" w:rsidRDefault="00511F2C">
      <w:pPr>
        <w:rPr>
          <w:vanish/>
        </w:rPr>
      </w:pPr>
      <w:bookmarkStart w:id="7" w:name="__bookmark_16"/>
      <w:bookmarkEnd w:id="7"/>
    </w:p>
    <w:tbl>
      <w:tblPr>
        <w:tblOverlap w:val="never"/>
        <w:tblW w:w="9356" w:type="dxa"/>
        <w:tblLayout w:type="fixed"/>
        <w:tblLook w:val="01E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511F2C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  <w:jc w:val="center"/>
            </w:pPr>
          </w:p>
        </w:tc>
      </w:tr>
      <w:tr w:rsidR="00511F2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25.02.2017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Внешняя проверка годовой бюджетной отчетности главных администраторов бюджетных средств городского округа Тольятти за 2016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КСП по результатам внешней проверки годовой бюджетной отчетности главных администраторов бюджетных средств городского округа Тольятти за 2016 год, представленное письмом департамента финансов администрации г.о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 от 04.05.2017г. № 18313-вн</w:t>
            </w:r>
            <w:r>
              <w:rPr>
                <w:color w:val="000000"/>
                <w:sz w:val="16"/>
                <w:szCs w:val="16"/>
              </w:rPr>
              <w:t>/2.1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BB7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Представлены пояснения по заключению КСП в адрес департамента финансов администрации г.о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 письмом от 19.05.2017г.            № 20259-вн/6.2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  <w:tr w:rsidR="00511F2C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2C" w:rsidRDefault="00511F2C">
            <w:pPr>
              <w:spacing w:line="1" w:lineRule="auto"/>
            </w:pPr>
          </w:p>
        </w:tc>
      </w:tr>
    </w:tbl>
    <w:p w:rsidR="00000000" w:rsidRDefault="00BB7718"/>
    <w:sectPr w:rsidR="00000000" w:rsidSect="00511F2C">
      <w:headerReference w:type="default" r:id="rId14"/>
      <w:footerReference w:type="default" r:id="rId15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2C" w:rsidRDefault="00511F2C" w:rsidP="00511F2C">
      <w:r>
        <w:separator/>
      </w:r>
    </w:p>
  </w:endnote>
  <w:endnote w:type="continuationSeparator" w:id="1">
    <w:p w:rsidR="00511F2C" w:rsidRDefault="00511F2C" w:rsidP="0051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2C" w:rsidRDefault="00511F2C" w:rsidP="00511F2C">
      <w:r>
        <w:separator/>
      </w:r>
    </w:p>
  </w:footnote>
  <w:footnote w:type="continuationSeparator" w:id="1">
    <w:p w:rsidR="00511F2C" w:rsidRDefault="00511F2C" w:rsidP="0051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511F2C">
      <w:trPr>
        <w:trHeight w:val="56"/>
      </w:trPr>
      <w:tc>
        <w:tcPr>
          <w:tcW w:w="9571" w:type="dxa"/>
        </w:tcPr>
        <w:p w:rsidR="00511F2C" w:rsidRDefault="00511F2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F2C"/>
    <w:rsid w:val="00511F2C"/>
    <w:rsid w:val="00B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2683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2019-04-26T07:24:00Z</dcterms:created>
  <dcterms:modified xsi:type="dcterms:W3CDTF">2019-04-26T07:24:00Z</dcterms:modified>
</cp:coreProperties>
</file>