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w:t>
      </w:r>
      <w:proofErr w:type="gramStart"/>
      <w:r w:rsidRPr="002937E4">
        <w:rPr>
          <w:rFonts w:ascii="Times New Roman" w:hAnsi="Times New Roman"/>
          <w:b/>
          <w:sz w:val="28"/>
          <w:szCs w:val="28"/>
        </w:rPr>
        <w:t>ДОХОДАХ</w:t>
      </w:r>
      <w:proofErr w:type="gramEnd"/>
      <w:r w:rsidRPr="002937E4">
        <w:rPr>
          <w:rFonts w:ascii="Times New Roman" w:hAnsi="Times New Roman"/>
          <w:b/>
          <w:sz w:val="28"/>
          <w:szCs w:val="28"/>
        </w:rPr>
        <w:t xml:space="preserve">,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2937E4">
        <w:rPr>
          <w:rFonts w:ascii="Times New Roman" w:hAnsi="Times New Roman"/>
          <w:sz w:val="28"/>
          <w:szCs w:val="28"/>
        </w:rPr>
        <w:t xml:space="preserve"> закона от 3 декабря 2012 г. № 230-ФЗ "О </w:t>
      </w:r>
      <w:proofErr w:type="gramStart"/>
      <w:r w:rsidRPr="002937E4">
        <w:rPr>
          <w:rFonts w:ascii="Times New Roman" w:hAnsi="Times New Roman"/>
          <w:sz w:val="28"/>
          <w:szCs w:val="28"/>
        </w:rPr>
        <w:t>контроле</w:t>
      </w:r>
      <w:proofErr w:type="gramEnd"/>
      <w:r w:rsidRPr="002937E4">
        <w:rPr>
          <w:rFonts w:ascii="Times New Roman" w:hAnsi="Times New Roman"/>
          <w:sz w:val="28"/>
          <w:szCs w:val="28"/>
        </w:rPr>
        <w:t xml:space="preserve"> за соответствием расходов лиц, замещающих государственные должности, и иных лиц их доходам". 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proofErr w:type="gramEnd"/>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roofErr w:type="gramEnd"/>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A00D3C">
        <w:rPr>
          <w:rFonts w:ascii="Times New Roman" w:hAnsi="Times New Roman"/>
          <w:sz w:val="28"/>
          <w:szCs w:val="28"/>
          <w:highlight w:val="yellow"/>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A00D3C">
        <w:rPr>
          <w:rFonts w:ascii="Times New Roman" w:hAnsi="Times New Roman"/>
          <w:sz w:val="28"/>
          <w:szCs w:val="28"/>
          <w:highlight w:val="yellow"/>
        </w:rPr>
        <w:t>Сведения не представляют</w:t>
      </w:r>
      <w:r w:rsidR="0095434F" w:rsidRPr="00A00D3C">
        <w:rPr>
          <w:rFonts w:ascii="Times New Roman" w:hAnsi="Times New Roman"/>
          <w:sz w:val="28"/>
          <w:szCs w:val="28"/>
          <w:highlight w:val="yellow"/>
        </w:rPr>
        <w:t xml:space="preserve"> военнослужащие, </w:t>
      </w:r>
      <w:r w:rsidR="005C1C7A" w:rsidRPr="00A00D3C">
        <w:rPr>
          <w:rFonts w:ascii="Times New Roman" w:hAnsi="Times New Roman"/>
          <w:sz w:val="28"/>
          <w:szCs w:val="28"/>
          <w:highlight w:val="yellow"/>
        </w:rPr>
        <w:t>сотрудники</w:t>
      </w:r>
      <w:r w:rsidR="00BB6F00" w:rsidRPr="00A00D3C">
        <w:rPr>
          <w:rFonts w:ascii="Times New Roman" w:hAnsi="Times New Roman"/>
          <w:sz w:val="28"/>
          <w:szCs w:val="28"/>
          <w:highlight w:val="yellow"/>
        </w:rPr>
        <w:t xml:space="preserve"> и </w:t>
      </w:r>
      <w:r w:rsidRPr="00A00D3C">
        <w:rPr>
          <w:rFonts w:ascii="Times New Roman" w:hAnsi="Times New Roman"/>
          <w:sz w:val="28"/>
          <w:szCs w:val="28"/>
          <w:highlight w:val="yellow"/>
        </w:rPr>
        <w:t>лица</w:t>
      </w:r>
      <w:r w:rsidR="0095434F" w:rsidRPr="00A00D3C">
        <w:rPr>
          <w:rFonts w:ascii="Times New Roman" w:hAnsi="Times New Roman"/>
          <w:sz w:val="28"/>
          <w:szCs w:val="28"/>
          <w:highlight w:val="yellow"/>
        </w:rPr>
        <w:t>, принимающие (принимавшие) участие в специальной военной операции или непосредственно выполняющие (выполнявшие) задачи, связанные с ее проведением</w:t>
      </w:r>
      <w:r w:rsidR="0095434F" w:rsidRPr="00C621E4">
        <w:rPr>
          <w:rFonts w:ascii="Times New Roman" w:hAnsi="Times New Roman"/>
          <w:sz w:val="28"/>
          <w:szCs w:val="28"/>
        </w:rPr>
        <w:t xml:space="preserve">,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A00D3C">
        <w:rPr>
          <w:rFonts w:ascii="Times New Roman" w:hAnsi="Times New Roman"/>
          <w:sz w:val="28"/>
          <w:szCs w:val="28"/>
          <w:highlight w:val="yellow"/>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A00D3C" w:rsidRDefault="001F7B71" w:rsidP="001F7B71">
      <w:pPr>
        <w:pStyle w:val="af7"/>
        <w:numPr>
          <w:ilvl w:val="0"/>
          <w:numId w:val="1"/>
        </w:numPr>
        <w:tabs>
          <w:tab w:val="left" w:pos="567"/>
          <w:tab w:val="left" w:pos="1134"/>
        </w:tabs>
        <w:ind w:left="0" w:firstLine="567"/>
        <w:rPr>
          <w:rFonts w:ascii="Times New Roman" w:hAnsi="Times New Roman"/>
          <w:sz w:val="28"/>
          <w:szCs w:val="28"/>
          <w:highlight w:val="yellow"/>
        </w:rPr>
      </w:pPr>
      <w:proofErr w:type="gramStart"/>
      <w:r w:rsidRPr="00A00D3C">
        <w:rPr>
          <w:rFonts w:ascii="Times New Roman" w:hAnsi="Times New Roman"/>
          <w:sz w:val="28"/>
          <w:szCs w:val="28"/>
          <w:highlight w:val="yellow"/>
        </w:rPr>
        <w:t xml:space="preserve">Лица, </w:t>
      </w:r>
      <w:r w:rsidR="009F6DEF" w:rsidRPr="00A00D3C">
        <w:rPr>
          <w:rFonts w:ascii="Times New Roman" w:hAnsi="Times New Roman"/>
          <w:sz w:val="28"/>
          <w:szCs w:val="28"/>
          <w:highlight w:val="yellow"/>
        </w:rPr>
        <w:t>призванные на военную службу по мобилизации или заключившие</w:t>
      </w:r>
      <w:r w:rsidR="009F6DEF" w:rsidRPr="009F6DEF">
        <w:rPr>
          <w:rFonts w:ascii="Times New Roman" w:hAnsi="Times New Roman"/>
          <w:sz w:val="28"/>
          <w:szCs w:val="28"/>
        </w:rPr>
        <w:t xml:space="preserve"> в соответствии с пунктом 7 статьи 38 Федерального закона от 28 марта 1998 г. № 53-ФЗ "О воинской обязанности и военной службе" </w:t>
      </w:r>
      <w:r w:rsidR="009F6DEF" w:rsidRPr="00A00D3C">
        <w:rPr>
          <w:rFonts w:ascii="Times New Roman" w:hAnsi="Times New Roman"/>
          <w:sz w:val="28"/>
          <w:szCs w:val="28"/>
          <w:highlight w:val="yellow"/>
        </w:rPr>
        <w:t>контракт о прохождении военной службы либо контракт о добровольном содействии в</w:t>
      </w:r>
      <w:r w:rsidR="009F6DEF" w:rsidRPr="009F6DEF">
        <w:rPr>
          <w:rFonts w:ascii="Times New Roman" w:hAnsi="Times New Roman"/>
          <w:sz w:val="28"/>
          <w:szCs w:val="28"/>
        </w:rPr>
        <w:t xml:space="preserve"> выполнении задач, возложенных на Вооруженные Силы Российской Федерации, </w:t>
      </w:r>
      <w:r w:rsidR="009F6DEF" w:rsidRPr="00A00D3C">
        <w:rPr>
          <w:rFonts w:ascii="Times New Roman" w:hAnsi="Times New Roman"/>
          <w:sz w:val="28"/>
          <w:szCs w:val="28"/>
          <w:highlight w:val="yellow"/>
        </w:rPr>
        <w:t>Сведения не представляют.</w:t>
      </w:r>
      <w:proofErr w:type="gramEnd"/>
    </w:p>
    <w:p w:rsidR="000315CC" w:rsidRPr="00A00D3C" w:rsidRDefault="001F7B71" w:rsidP="001F7B71">
      <w:pPr>
        <w:pStyle w:val="af7"/>
        <w:numPr>
          <w:ilvl w:val="0"/>
          <w:numId w:val="1"/>
        </w:numPr>
        <w:tabs>
          <w:tab w:val="left" w:pos="567"/>
          <w:tab w:val="left" w:pos="1134"/>
        </w:tabs>
        <w:ind w:left="0" w:firstLine="567"/>
        <w:rPr>
          <w:rFonts w:ascii="Times New Roman" w:hAnsi="Times New Roman"/>
          <w:sz w:val="28"/>
          <w:szCs w:val="28"/>
          <w:highlight w:val="yellow"/>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w:t>
      </w:r>
      <w:r w:rsidRPr="00A00D3C">
        <w:rPr>
          <w:rFonts w:ascii="Times New Roman" w:hAnsi="Times New Roman"/>
          <w:sz w:val="28"/>
          <w:szCs w:val="28"/>
          <w:highlight w:val="yellow"/>
        </w:rPr>
        <w:t>предполагает, что приостанавливается</w:t>
      </w:r>
      <w:r w:rsidR="009F6DEF" w:rsidRPr="00A00D3C">
        <w:rPr>
          <w:rFonts w:ascii="Times New Roman" w:hAnsi="Times New Roman"/>
          <w:sz w:val="28"/>
          <w:szCs w:val="28"/>
          <w:highlight w:val="yellow"/>
        </w:rPr>
        <w:t xml:space="preserve"> </w:t>
      </w:r>
      <w:r w:rsidRPr="00A00D3C">
        <w:rPr>
          <w:rFonts w:ascii="Times New Roman" w:hAnsi="Times New Roman"/>
          <w:sz w:val="28"/>
          <w:szCs w:val="28"/>
          <w:highlight w:val="yellow"/>
        </w:rPr>
        <w:t xml:space="preserve">осуществление установленных </w:t>
      </w:r>
      <w:r w:rsidR="009F6DEF" w:rsidRPr="00A00D3C">
        <w:rPr>
          <w:rFonts w:ascii="Times New Roman" w:hAnsi="Times New Roman"/>
          <w:sz w:val="28"/>
          <w:szCs w:val="28"/>
          <w:highlight w:val="yellow"/>
        </w:rPr>
        <w:t xml:space="preserve">по основному месту службы (работы) </w:t>
      </w:r>
      <w:r w:rsidRPr="00A00D3C">
        <w:rPr>
          <w:rFonts w:ascii="Times New Roman" w:hAnsi="Times New Roman"/>
          <w:sz w:val="28"/>
          <w:szCs w:val="28"/>
          <w:highlight w:val="yellow"/>
        </w:rPr>
        <w:t>прав и обязанностей</w:t>
      </w:r>
      <w:r w:rsidR="009F6DEF" w:rsidRPr="00A00D3C">
        <w:rPr>
          <w:rFonts w:ascii="Times New Roman" w:hAnsi="Times New Roman"/>
          <w:sz w:val="28"/>
          <w:szCs w:val="28"/>
          <w:highlight w:val="yellow"/>
        </w:rPr>
        <w:t xml:space="preserve">, </w:t>
      </w:r>
      <w:r w:rsidRPr="00A00D3C">
        <w:rPr>
          <w:rFonts w:ascii="Times New Roman" w:hAnsi="Times New Roman"/>
          <w:sz w:val="28"/>
          <w:szCs w:val="28"/>
          <w:highlight w:val="yellow"/>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roofErr w:type="gramEnd"/>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8621DE" w:rsidRPr="006848CC">
        <w:rPr>
          <w:rFonts w:ascii="Times New Roman" w:hAnsi="Times New Roman"/>
          <w:sz w:val="28"/>
          <w:szCs w:val="28"/>
        </w:rPr>
        <w:t>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w:t>
      </w:r>
      <w:proofErr w:type="gramEnd"/>
      <w:r w:rsidRPr="002937E4">
        <w:rPr>
          <w:rFonts w:ascii="Times New Roman" w:hAnsi="Times New Roman"/>
          <w:sz w:val="28"/>
          <w:szCs w:val="28"/>
        </w:rPr>
        <w:t xml:space="preserve">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6848CC">
        <w:rPr>
          <w:rFonts w:ascii="Times New Roman" w:hAnsi="Times New Roman"/>
          <w:sz w:val="28"/>
          <w:szCs w:val="28"/>
        </w:rPr>
        <w:t xml:space="preserve">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6848CC">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1. СВЕДЕНИЯ О </w:t>
      </w:r>
      <w:proofErr w:type="gramStart"/>
      <w:r w:rsidRPr="006848CC">
        <w:rPr>
          <w:rFonts w:ascii="Times New Roman" w:hAnsi="Times New Roman"/>
          <w:b/>
          <w:sz w:val="28"/>
          <w:szCs w:val="28"/>
        </w:rPr>
        <w:t>ДОХОДАХ</w:t>
      </w:r>
      <w:proofErr w:type="gramEnd"/>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48CC">
        <w:rPr>
          <w:rFonts w:ascii="Times New Roman" w:hAnsi="Times New Roman"/>
          <w:sz w:val="28"/>
          <w:szCs w:val="28"/>
        </w:rPr>
        <w:t>.д.).</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roofErr w:type="gramEnd"/>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roofErr w:type="gramEnd"/>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lastRenderedPageBreak/>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995FE4">
        <w:rPr>
          <w:rFonts w:ascii="Times New Roman" w:hAnsi="Times New Roman"/>
          <w:color w:val="FF0000"/>
          <w:sz w:val="28"/>
          <w:szCs w:val="28"/>
        </w:rPr>
        <w:t>Не указываются денежные средства, полученные в качестве компенсации, возмещения расходов</w:t>
      </w:r>
      <w:r w:rsidRPr="008B315A">
        <w:rPr>
          <w:rFonts w:ascii="Times New Roman" w:hAnsi="Times New Roman"/>
          <w:sz w:val="28"/>
          <w:szCs w:val="28"/>
        </w:rPr>
        <w:t xml:space="preserve">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995FE4" w:rsidRDefault="00CF22F2">
      <w:pPr>
        <w:ind w:firstLine="567"/>
        <w:rPr>
          <w:rFonts w:ascii="Times New Roman" w:hAnsi="Times New Roman"/>
          <w:color w:val="FF0000"/>
          <w:sz w:val="28"/>
          <w:szCs w:val="28"/>
        </w:rPr>
      </w:pPr>
      <w:r w:rsidRPr="006848CC">
        <w:rPr>
          <w:rFonts w:ascii="Times New Roman" w:hAnsi="Times New Roman"/>
          <w:sz w:val="28"/>
          <w:szCs w:val="28"/>
        </w:rPr>
        <w:t>3) </w:t>
      </w:r>
      <w:r w:rsidRPr="00995FE4">
        <w:rPr>
          <w:rFonts w:ascii="Times New Roman" w:hAnsi="Times New Roman"/>
          <w:color w:val="FF0000"/>
          <w:sz w:val="28"/>
          <w:szCs w:val="28"/>
        </w:rPr>
        <w:t xml:space="preserve">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4D5762" w:rsidRPr="00995FE4" w:rsidRDefault="00CF22F2">
      <w:pPr>
        <w:tabs>
          <w:tab w:val="left" w:pos="709"/>
        </w:tabs>
        <w:ind w:firstLine="567"/>
        <w:rPr>
          <w:rFonts w:ascii="Times New Roman" w:hAnsi="Times New Roman"/>
          <w:color w:val="FF0000"/>
          <w:sz w:val="28"/>
          <w:szCs w:val="28"/>
        </w:rPr>
      </w:pPr>
      <w:r w:rsidRPr="006848CC">
        <w:rPr>
          <w:rFonts w:ascii="Times New Roman" w:hAnsi="Times New Roman"/>
          <w:sz w:val="28"/>
          <w:szCs w:val="28"/>
        </w:rPr>
        <w:t>13</w:t>
      </w:r>
      <w:r w:rsidRPr="00995FE4">
        <w:rPr>
          <w:rFonts w:ascii="Times New Roman" w:hAnsi="Times New Roman"/>
          <w:color w:val="FF0000"/>
          <w:sz w:val="28"/>
          <w:szCs w:val="28"/>
        </w:rPr>
        <w:t>) в качестве возврата денежных сре</w:t>
      </w:r>
      <w:proofErr w:type="gramStart"/>
      <w:r w:rsidRPr="00995FE4">
        <w:rPr>
          <w:rFonts w:ascii="Times New Roman" w:hAnsi="Times New Roman"/>
          <w:color w:val="FF0000"/>
          <w:sz w:val="28"/>
          <w:szCs w:val="28"/>
        </w:rPr>
        <w:t>дств в св</w:t>
      </w:r>
      <w:proofErr w:type="gramEnd"/>
      <w:r w:rsidRPr="00995FE4">
        <w:rPr>
          <w:rFonts w:ascii="Times New Roman" w:hAnsi="Times New Roman"/>
          <w:color w:val="FF0000"/>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w:t>
      </w:r>
      <w:bookmarkStart w:id="0" w:name="_GoBack"/>
      <w:bookmarkEnd w:id="0"/>
      <w:r w:rsidRPr="006848CC">
        <w:rPr>
          <w:rStyle w:val="af5"/>
          <w:rFonts w:ascii="Times New Roman" w:hAnsi="Times New Roman" w:cs="Times New Roman"/>
          <w:color w:val="000000"/>
          <w:sz w:val="28"/>
          <w:szCs w:val="28"/>
        </w:rPr>
        <w:t>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 xml:space="preserve">РАЗДЕЛ 2. СВЕДЕНИЯ О </w:t>
      </w:r>
      <w:proofErr w:type="gramStart"/>
      <w:r w:rsidRPr="006848CC">
        <w:rPr>
          <w:rFonts w:ascii="Times New Roman" w:hAnsi="Times New Roman"/>
          <w:b/>
          <w:sz w:val="28"/>
          <w:szCs w:val="28"/>
        </w:rPr>
        <w:t>РАСХОДАХ</w:t>
      </w:r>
      <w:proofErr w:type="gramEnd"/>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 xml:space="preserve">на недвижимое имущество без совершения сделки по приобретению данного имущества (например, </w:t>
      </w:r>
      <w:r w:rsidRPr="00EB4478">
        <w:rPr>
          <w:rFonts w:ascii="Times New Roman" w:hAnsi="Times New Roman"/>
          <w:color w:val="FF0000"/>
          <w:sz w:val="28"/>
          <w:szCs w:val="28"/>
        </w:rPr>
        <w:t>возведение жилого дома на земельном участке</w:t>
      </w:r>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принятии</w:t>
      </w:r>
      <w:proofErr w:type="gramEnd"/>
      <w:r w:rsidR="00EB3A52" w:rsidRPr="006848CC">
        <w:rPr>
          <w:rFonts w:ascii="Times New Roman" w:hAnsi="Times New Roman"/>
          <w:sz w:val="28"/>
          <w:szCs w:val="28"/>
        </w:rPr>
        <w:t xml:space="preserve">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 xml:space="preserve">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roofErr w:type="gramEnd"/>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 xml:space="preserve">РАЗДЕЛ 4. СВЕДЕНИЯ О </w:t>
      </w:r>
      <w:proofErr w:type="gramStart"/>
      <w:r w:rsidRPr="006848CC">
        <w:rPr>
          <w:rFonts w:ascii="Times New Roman" w:hAnsi="Times New Roman"/>
          <w:b/>
          <w:sz w:val="28"/>
          <w:szCs w:val="28"/>
        </w:rPr>
        <w:t>СЧЕТАХ</w:t>
      </w:r>
      <w:proofErr w:type="gramEnd"/>
      <w:r w:rsidRPr="006848CC">
        <w:rPr>
          <w:rFonts w:ascii="Times New Roman" w:hAnsi="Times New Roman"/>
          <w:b/>
          <w:sz w:val="28"/>
          <w:szCs w:val="28"/>
        </w:rPr>
        <w:t xml:space="preserve">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6848CC">
        <w:rPr>
          <w:rFonts w:ascii="Times New Roman" w:hAnsi="Times New Roman"/>
          <w:sz w:val="28"/>
          <w:szCs w:val="28"/>
        </w:rPr>
        <w:t>" [</w:t>
      </w:r>
      <w:r w:rsidRPr="006848CC">
        <w:rPr>
          <w:rFonts w:ascii="MS Mincho" w:eastAsia="MS Mincho" w:hAnsi="MS Mincho" w:cs="MS Mincho"/>
          <w:sz w:val="28"/>
          <w:szCs w:val="28"/>
        </w:rPr>
        <w:t>✓</w:t>
      </w:r>
      <w:r w:rsidRPr="006848CC">
        <w:rPr>
          <w:rFonts w:ascii="Times New Roman" w:hAnsi="Times New Roman"/>
          <w:sz w:val="28"/>
          <w:szCs w:val="28"/>
        </w:rPr>
        <w:t xml:space="preserve">] </w:t>
      </w:r>
      <w:proofErr w:type="gramEnd"/>
      <w:r w:rsidRPr="006848CC">
        <w:rPr>
          <w:rFonts w:ascii="Times New Roman" w:hAnsi="Times New Roman"/>
          <w:sz w:val="28"/>
          <w:szCs w:val="28"/>
        </w:rPr>
        <w:t xml:space="preserve">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w:t>
      </w:r>
      <w:proofErr w:type="gramEnd"/>
      <w:r w:rsidRPr="006848C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6848CC">
        <w:rPr>
          <w:rFonts w:ascii="Times New Roman" w:hAnsi="Times New Roman"/>
          <w:sz w:val="28"/>
          <w:szCs w:val="28"/>
        </w:rPr>
        <w:t>дств пл</w:t>
      </w:r>
      <w:proofErr w:type="gramEnd"/>
      <w:r w:rsidRPr="006848CC">
        <w:rPr>
          <w:rFonts w:ascii="Times New Roman" w:hAnsi="Times New Roman"/>
          <w:sz w:val="28"/>
          <w:szCs w:val="28"/>
        </w:rPr>
        <w:t>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 xml:space="preserve">РАЗДЕЛ 5. СВЕДЕНИЯ О ЦЕННЫХ </w:t>
      </w:r>
      <w:proofErr w:type="gramStart"/>
      <w:r w:rsidRPr="006848CC">
        <w:rPr>
          <w:rFonts w:ascii="Times New Roman" w:hAnsi="Times New Roman"/>
          <w:b/>
          <w:sz w:val="28"/>
          <w:szCs w:val="28"/>
        </w:rPr>
        <w:t>БУМАГАХ</w:t>
      </w:r>
      <w:proofErr w:type="gramEnd"/>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7. </w:t>
      </w:r>
      <w:proofErr w:type="gramStart"/>
      <w:r w:rsidRPr="006848CC">
        <w:rPr>
          <w:rFonts w:ascii="Times New Roman" w:hAnsi="Times New Roman"/>
          <w:b/>
          <w:sz w:val="28"/>
          <w:szCs w:val="28"/>
        </w:rPr>
        <w:t>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roofErr w:type="gramEnd"/>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roofErr w:type="gramEnd"/>
    </w:p>
    <w:p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roofErr w:type="gramEnd"/>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3D6E4D">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190" w:rsidRDefault="00E20190">
      <w:r>
        <w:separator/>
      </w:r>
    </w:p>
  </w:endnote>
  <w:endnote w:type="continuationSeparator" w:id="0">
    <w:p w:rsidR="00E20190" w:rsidRDefault="00E2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190" w:rsidRDefault="00E20190">
      <w:r>
        <w:separator/>
      </w:r>
    </w:p>
  </w:footnote>
  <w:footnote w:type="continuationSeparator" w:id="0">
    <w:p w:rsidR="00E20190" w:rsidRDefault="00E20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E4" w:rsidRDefault="00995FE4">
    <w:pPr>
      <w:pStyle w:val="af0"/>
      <w:jc w:val="center"/>
      <w:rPr>
        <w:rFonts w:ascii="Times New Roman" w:eastAsia="Times New Roman" w:hAnsi="Times New Roman"/>
        <w:sz w:val="28"/>
      </w:rPr>
    </w:pPr>
    <w:r>
      <w:fldChar w:fldCharType="begin"/>
    </w:r>
    <w:r>
      <w:instrText>PAGE \* MERGEFORMAT</w:instrText>
    </w:r>
    <w:r>
      <w:fldChar w:fldCharType="separate"/>
    </w:r>
    <w:r w:rsidR="00F03D51" w:rsidRPr="00F03D51">
      <w:rPr>
        <w:rFonts w:ascii="Times New Roman" w:eastAsia="Times New Roman" w:hAnsi="Times New Roman"/>
        <w:noProof/>
        <w:sz w:val="28"/>
      </w:rPr>
      <w:t>32</w:t>
    </w:r>
    <w:r>
      <w:rPr>
        <w:rFonts w:ascii="Times New Roman" w:eastAsia="Times New Roman" w:hAnsi="Times New Roman"/>
        <w:sz w:val="28"/>
      </w:rPr>
      <w:fldChar w:fldCharType="end"/>
    </w:r>
  </w:p>
  <w:p w:rsidR="00995FE4" w:rsidRDefault="00995F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3D6E4D"/>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1107E"/>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95FE4"/>
    <w:rsid w:val="009F6DEF"/>
    <w:rsid w:val="00A00D3C"/>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0190"/>
    <w:rsid w:val="00E27DBD"/>
    <w:rsid w:val="00E4439A"/>
    <w:rsid w:val="00EB3A52"/>
    <w:rsid w:val="00EB4478"/>
    <w:rsid w:val="00EC6510"/>
    <w:rsid w:val="00F03D51"/>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E4D"/>
    <w:pPr>
      <w:ind w:firstLine="709"/>
      <w:jc w:val="both"/>
    </w:pPr>
    <w:rPr>
      <w:sz w:val="22"/>
      <w:szCs w:val="22"/>
      <w:lang w:eastAsia="en-US"/>
    </w:rPr>
  </w:style>
  <w:style w:type="paragraph" w:styleId="1">
    <w:name w:val="heading 1"/>
    <w:basedOn w:val="a"/>
    <w:next w:val="a"/>
    <w:link w:val="10"/>
    <w:uiPriority w:val="9"/>
    <w:qFormat/>
    <w:rsid w:val="003D6E4D"/>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3D6E4D"/>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3D6E4D"/>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3D6E4D"/>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3D6E4D"/>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3D6E4D"/>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3D6E4D"/>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3D6E4D"/>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3D6E4D"/>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E4D"/>
    <w:rPr>
      <w:rFonts w:ascii="Arial" w:eastAsia="Arial" w:hAnsi="Arial" w:cs="Arial"/>
      <w:sz w:val="40"/>
      <w:szCs w:val="40"/>
    </w:rPr>
  </w:style>
  <w:style w:type="character" w:customStyle="1" w:styleId="20">
    <w:name w:val="Заголовок 2 Знак"/>
    <w:basedOn w:val="a0"/>
    <w:link w:val="2"/>
    <w:uiPriority w:val="9"/>
    <w:rsid w:val="003D6E4D"/>
    <w:rPr>
      <w:rFonts w:ascii="Arial" w:eastAsia="Arial" w:hAnsi="Arial" w:cs="Arial"/>
      <w:sz w:val="34"/>
    </w:rPr>
  </w:style>
  <w:style w:type="character" w:customStyle="1" w:styleId="30">
    <w:name w:val="Заголовок 3 Знак"/>
    <w:basedOn w:val="a0"/>
    <w:link w:val="3"/>
    <w:uiPriority w:val="9"/>
    <w:rsid w:val="003D6E4D"/>
    <w:rPr>
      <w:rFonts w:ascii="Arial" w:eastAsia="Arial" w:hAnsi="Arial" w:cs="Arial"/>
      <w:sz w:val="30"/>
      <w:szCs w:val="30"/>
    </w:rPr>
  </w:style>
  <w:style w:type="character" w:customStyle="1" w:styleId="40">
    <w:name w:val="Заголовок 4 Знак"/>
    <w:basedOn w:val="a0"/>
    <w:link w:val="4"/>
    <w:uiPriority w:val="9"/>
    <w:rsid w:val="003D6E4D"/>
    <w:rPr>
      <w:rFonts w:ascii="Arial" w:eastAsia="Arial" w:hAnsi="Arial" w:cs="Arial"/>
      <w:b/>
      <w:bCs/>
      <w:sz w:val="26"/>
      <w:szCs w:val="26"/>
    </w:rPr>
  </w:style>
  <w:style w:type="character" w:customStyle="1" w:styleId="50">
    <w:name w:val="Заголовок 5 Знак"/>
    <w:basedOn w:val="a0"/>
    <w:link w:val="5"/>
    <w:uiPriority w:val="9"/>
    <w:rsid w:val="003D6E4D"/>
    <w:rPr>
      <w:rFonts w:ascii="Arial" w:eastAsia="Arial" w:hAnsi="Arial" w:cs="Arial"/>
      <w:b/>
      <w:bCs/>
      <w:sz w:val="24"/>
      <w:szCs w:val="24"/>
    </w:rPr>
  </w:style>
  <w:style w:type="character" w:customStyle="1" w:styleId="60">
    <w:name w:val="Заголовок 6 Знак"/>
    <w:basedOn w:val="a0"/>
    <w:link w:val="6"/>
    <w:uiPriority w:val="9"/>
    <w:rsid w:val="003D6E4D"/>
    <w:rPr>
      <w:rFonts w:ascii="Arial" w:eastAsia="Arial" w:hAnsi="Arial" w:cs="Arial"/>
      <w:b/>
      <w:bCs/>
      <w:sz w:val="22"/>
      <w:szCs w:val="22"/>
    </w:rPr>
  </w:style>
  <w:style w:type="character" w:customStyle="1" w:styleId="70">
    <w:name w:val="Заголовок 7 Знак"/>
    <w:basedOn w:val="a0"/>
    <w:link w:val="7"/>
    <w:uiPriority w:val="9"/>
    <w:rsid w:val="003D6E4D"/>
    <w:rPr>
      <w:rFonts w:ascii="Arial" w:eastAsia="Arial" w:hAnsi="Arial" w:cs="Arial"/>
      <w:b/>
      <w:bCs/>
      <w:i/>
      <w:iCs/>
      <w:sz w:val="22"/>
      <w:szCs w:val="22"/>
    </w:rPr>
  </w:style>
  <w:style w:type="character" w:customStyle="1" w:styleId="80">
    <w:name w:val="Заголовок 8 Знак"/>
    <w:basedOn w:val="a0"/>
    <w:link w:val="8"/>
    <w:uiPriority w:val="9"/>
    <w:rsid w:val="003D6E4D"/>
    <w:rPr>
      <w:rFonts w:ascii="Arial" w:eastAsia="Arial" w:hAnsi="Arial" w:cs="Arial"/>
      <w:i/>
      <w:iCs/>
      <w:sz w:val="22"/>
      <w:szCs w:val="22"/>
    </w:rPr>
  </w:style>
  <w:style w:type="character" w:customStyle="1" w:styleId="90">
    <w:name w:val="Заголовок 9 Знак"/>
    <w:basedOn w:val="a0"/>
    <w:link w:val="9"/>
    <w:uiPriority w:val="9"/>
    <w:rsid w:val="003D6E4D"/>
    <w:rPr>
      <w:rFonts w:ascii="Arial" w:eastAsia="Arial" w:hAnsi="Arial" w:cs="Arial"/>
      <w:i/>
      <w:iCs/>
      <w:sz w:val="21"/>
      <w:szCs w:val="21"/>
    </w:rPr>
  </w:style>
  <w:style w:type="paragraph" w:styleId="a3">
    <w:name w:val="No Spacing"/>
    <w:uiPriority w:val="1"/>
    <w:qFormat/>
    <w:rsid w:val="003D6E4D"/>
  </w:style>
  <w:style w:type="paragraph" w:styleId="a4">
    <w:name w:val="Title"/>
    <w:basedOn w:val="a"/>
    <w:next w:val="a"/>
    <w:link w:val="a5"/>
    <w:uiPriority w:val="10"/>
    <w:qFormat/>
    <w:rsid w:val="003D6E4D"/>
    <w:pPr>
      <w:spacing w:before="300" w:after="200"/>
      <w:contextualSpacing/>
    </w:pPr>
    <w:rPr>
      <w:sz w:val="48"/>
      <w:szCs w:val="48"/>
    </w:rPr>
  </w:style>
  <w:style w:type="character" w:customStyle="1" w:styleId="a5">
    <w:name w:val="Название Знак"/>
    <w:basedOn w:val="a0"/>
    <w:link w:val="a4"/>
    <w:uiPriority w:val="10"/>
    <w:rsid w:val="003D6E4D"/>
    <w:rPr>
      <w:sz w:val="48"/>
      <w:szCs w:val="48"/>
    </w:rPr>
  </w:style>
  <w:style w:type="paragraph" w:styleId="a6">
    <w:name w:val="Subtitle"/>
    <w:basedOn w:val="a"/>
    <w:next w:val="a"/>
    <w:link w:val="a7"/>
    <w:uiPriority w:val="11"/>
    <w:qFormat/>
    <w:rsid w:val="003D6E4D"/>
    <w:pPr>
      <w:spacing w:before="200" w:after="200"/>
    </w:pPr>
    <w:rPr>
      <w:sz w:val="24"/>
      <w:szCs w:val="24"/>
    </w:rPr>
  </w:style>
  <w:style w:type="character" w:customStyle="1" w:styleId="a7">
    <w:name w:val="Подзаголовок Знак"/>
    <w:basedOn w:val="a0"/>
    <w:link w:val="a6"/>
    <w:uiPriority w:val="11"/>
    <w:rsid w:val="003D6E4D"/>
    <w:rPr>
      <w:sz w:val="24"/>
      <w:szCs w:val="24"/>
    </w:rPr>
  </w:style>
  <w:style w:type="paragraph" w:styleId="21">
    <w:name w:val="Quote"/>
    <w:basedOn w:val="a"/>
    <w:next w:val="a"/>
    <w:link w:val="22"/>
    <w:uiPriority w:val="29"/>
    <w:qFormat/>
    <w:rsid w:val="003D6E4D"/>
    <w:pPr>
      <w:ind w:left="720" w:right="720"/>
    </w:pPr>
    <w:rPr>
      <w:i/>
    </w:rPr>
  </w:style>
  <w:style w:type="character" w:customStyle="1" w:styleId="22">
    <w:name w:val="Цитата 2 Знак"/>
    <w:link w:val="21"/>
    <w:uiPriority w:val="29"/>
    <w:rsid w:val="003D6E4D"/>
    <w:rPr>
      <w:i/>
    </w:rPr>
  </w:style>
  <w:style w:type="paragraph" w:styleId="a8">
    <w:name w:val="Intense Quote"/>
    <w:basedOn w:val="a"/>
    <w:next w:val="a"/>
    <w:link w:val="a9"/>
    <w:uiPriority w:val="30"/>
    <w:qFormat/>
    <w:rsid w:val="003D6E4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3D6E4D"/>
    <w:rPr>
      <w:i/>
    </w:rPr>
  </w:style>
  <w:style w:type="character" w:customStyle="1" w:styleId="HeaderChar">
    <w:name w:val="Header Char"/>
    <w:basedOn w:val="a0"/>
    <w:uiPriority w:val="99"/>
    <w:rsid w:val="003D6E4D"/>
  </w:style>
  <w:style w:type="character" w:customStyle="1" w:styleId="FooterChar">
    <w:name w:val="Footer Char"/>
    <w:basedOn w:val="a0"/>
    <w:uiPriority w:val="99"/>
    <w:rsid w:val="003D6E4D"/>
  </w:style>
  <w:style w:type="paragraph" w:styleId="aa">
    <w:name w:val="caption"/>
    <w:basedOn w:val="a"/>
    <w:next w:val="a"/>
    <w:uiPriority w:val="35"/>
    <w:semiHidden/>
    <w:unhideWhenUsed/>
    <w:qFormat/>
    <w:rsid w:val="003D6E4D"/>
    <w:pPr>
      <w:spacing w:line="276" w:lineRule="auto"/>
    </w:pPr>
    <w:rPr>
      <w:b/>
      <w:bCs/>
      <w:color w:val="5B9BD5" w:themeColor="accent1"/>
      <w:sz w:val="18"/>
      <w:szCs w:val="18"/>
    </w:rPr>
  </w:style>
  <w:style w:type="character" w:customStyle="1" w:styleId="CaptionChar">
    <w:name w:val="Caption Char"/>
    <w:uiPriority w:val="99"/>
    <w:rsid w:val="003D6E4D"/>
  </w:style>
  <w:style w:type="table" w:customStyle="1" w:styleId="TableGridLight">
    <w:name w:val="Table Grid Light"/>
    <w:basedOn w:val="a1"/>
    <w:uiPriority w:val="59"/>
    <w:rsid w:val="003D6E4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3D6E4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3D6E4D"/>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3D6E4D"/>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3D6E4D"/>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3D6E4D"/>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3D6E4D"/>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D6E4D"/>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3D6E4D"/>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3D6E4D"/>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3D6E4D"/>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3D6E4D"/>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3D6E4D"/>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3D6E4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3D6E4D"/>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3D6E4D"/>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3D6E4D"/>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3D6E4D"/>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3D6E4D"/>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3D6E4D"/>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3D6E4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3D6E4D"/>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3D6E4D"/>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3D6E4D"/>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3D6E4D"/>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3D6E4D"/>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3D6E4D"/>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3D6E4D"/>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3D6E4D"/>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3D6E4D"/>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3D6E4D"/>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3D6E4D"/>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3D6E4D"/>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3D6E4D"/>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3D6E4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3D6E4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3D6E4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3D6E4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3D6E4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3D6E4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3D6E4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3D6E4D"/>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D6E4D"/>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3D6E4D"/>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3D6E4D"/>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3D6E4D"/>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3D6E4D"/>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3D6E4D"/>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3D6E4D"/>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D6E4D"/>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3D6E4D"/>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3D6E4D"/>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3D6E4D"/>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3D6E4D"/>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3D6E4D"/>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3D6E4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3D6E4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3D6E4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3D6E4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3D6E4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3D6E4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3D6E4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3D6E4D"/>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3D6E4D"/>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3D6E4D"/>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3D6E4D"/>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3D6E4D"/>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3D6E4D"/>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3D6E4D"/>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3D6E4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D6E4D"/>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3D6E4D"/>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3D6E4D"/>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3D6E4D"/>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3D6E4D"/>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3D6E4D"/>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3D6E4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3D6E4D"/>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3D6E4D"/>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3D6E4D"/>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3D6E4D"/>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3D6E4D"/>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3D6E4D"/>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3D6E4D"/>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3D6E4D"/>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3D6E4D"/>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3D6E4D"/>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3D6E4D"/>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3D6E4D"/>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3D6E4D"/>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3D6E4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D6E4D"/>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3D6E4D"/>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3D6E4D"/>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3D6E4D"/>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3D6E4D"/>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3D6E4D"/>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3D6E4D"/>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D6E4D"/>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3D6E4D"/>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3D6E4D"/>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3D6E4D"/>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3D6E4D"/>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3D6E4D"/>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3D6E4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3D6E4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3D6E4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3D6E4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3D6E4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3D6E4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3D6E4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3D6E4D"/>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3D6E4D"/>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3D6E4D"/>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3D6E4D"/>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3D6E4D"/>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3D6E4D"/>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3D6E4D"/>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3D6E4D"/>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D6E4D"/>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3D6E4D"/>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3D6E4D"/>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3D6E4D"/>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3D6E4D"/>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3D6E4D"/>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3D6E4D"/>
    <w:rPr>
      <w:sz w:val="18"/>
    </w:rPr>
  </w:style>
  <w:style w:type="paragraph" w:styleId="ab">
    <w:name w:val="endnote text"/>
    <w:basedOn w:val="a"/>
    <w:link w:val="ac"/>
    <w:uiPriority w:val="99"/>
    <w:semiHidden/>
    <w:unhideWhenUsed/>
    <w:rsid w:val="003D6E4D"/>
    <w:rPr>
      <w:sz w:val="20"/>
    </w:rPr>
  </w:style>
  <w:style w:type="character" w:customStyle="1" w:styleId="ac">
    <w:name w:val="Текст концевой сноски Знак"/>
    <w:link w:val="ab"/>
    <w:uiPriority w:val="99"/>
    <w:rsid w:val="003D6E4D"/>
    <w:rPr>
      <w:sz w:val="20"/>
    </w:rPr>
  </w:style>
  <w:style w:type="character" w:styleId="ad">
    <w:name w:val="endnote reference"/>
    <w:basedOn w:val="a0"/>
    <w:uiPriority w:val="99"/>
    <w:semiHidden/>
    <w:unhideWhenUsed/>
    <w:rsid w:val="003D6E4D"/>
    <w:rPr>
      <w:vertAlign w:val="superscript"/>
    </w:rPr>
  </w:style>
  <w:style w:type="paragraph" w:styleId="12">
    <w:name w:val="toc 1"/>
    <w:basedOn w:val="a"/>
    <w:next w:val="a"/>
    <w:uiPriority w:val="39"/>
    <w:unhideWhenUsed/>
    <w:rsid w:val="003D6E4D"/>
    <w:pPr>
      <w:spacing w:after="57"/>
      <w:ind w:firstLine="0"/>
    </w:pPr>
  </w:style>
  <w:style w:type="paragraph" w:styleId="23">
    <w:name w:val="toc 2"/>
    <w:basedOn w:val="a"/>
    <w:next w:val="a"/>
    <w:uiPriority w:val="39"/>
    <w:unhideWhenUsed/>
    <w:rsid w:val="003D6E4D"/>
    <w:pPr>
      <w:spacing w:after="57"/>
      <w:ind w:left="283" w:firstLine="0"/>
    </w:pPr>
  </w:style>
  <w:style w:type="paragraph" w:styleId="32">
    <w:name w:val="toc 3"/>
    <w:basedOn w:val="a"/>
    <w:next w:val="a"/>
    <w:uiPriority w:val="39"/>
    <w:unhideWhenUsed/>
    <w:rsid w:val="003D6E4D"/>
    <w:pPr>
      <w:spacing w:after="57"/>
      <w:ind w:left="567" w:firstLine="0"/>
    </w:pPr>
  </w:style>
  <w:style w:type="paragraph" w:styleId="42">
    <w:name w:val="toc 4"/>
    <w:basedOn w:val="a"/>
    <w:next w:val="a"/>
    <w:uiPriority w:val="39"/>
    <w:unhideWhenUsed/>
    <w:rsid w:val="003D6E4D"/>
    <w:pPr>
      <w:spacing w:after="57"/>
      <w:ind w:left="850" w:firstLine="0"/>
    </w:pPr>
  </w:style>
  <w:style w:type="paragraph" w:styleId="52">
    <w:name w:val="toc 5"/>
    <w:basedOn w:val="a"/>
    <w:next w:val="a"/>
    <w:uiPriority w:val="39"/>
    <w:unhideWhenUsed/>
    <w:rsid w:val="003D6E4D"/>
    <w:pPr>
      <w:spacing w:after="57"/>
      <w:ind w:left="1134" w:firstLine="0"/>
    </w:pPr>
  </w:style>
  <w:style w:type="paragraph" w:styleId="61">
    <w:name w:val="toc 6"/>
    <w:basedOn w:val="a"/>
    <w:next w:val="a"/>
    <w:uiPriority w:val="39"/>
    <w:unhideWhenUsed/>
    <w:rsid w:val="003D6E4D"/>
    <w:pPr>
      <w:spacing w:after="57"/>
      <w:ind w:left="1417" w:firstLine="0"/>
    </w:pPr>
  </w:style>
  <w:style w:type="paragraph" w:styleId="71">
    <w:name w:val="toc 7"/>
    <w:basedOn w:val="a"/>
    <w:next w:val="a"/>
    <w:uiPriority w:val="39"/>
    <w:unhideWhenUsed/>
    <w:rsid w:val="003D6E4D"/>
    <w:pPr>
      <w:spacing w:after="57"/>
      <w:ind w:left="1701" w:firstLine="0"/>
    </w:pPr>
  </w:style>
  <w:style w:type="paragraph" w:styleId="81">
    <w:name w:val="toc 8"/>
    <w:basedOn w:val="a"/>
    <w:next w:val="a"/>
    <w:uiPriority w:val="39"/>
    <w:unhideWhenUsed/>
    <w:rsid w:val="003D6E4D"/>
    <w:pPr>
      <w:spacing w:after="57"/>
      <w:ind w:left="1984" w:firstLine="0"/>
    </w:pPr>
  </w:style>
  <w:style w:type="paragraph" w:styleId="91">
    <w:name w:val="toc 9"/>
    <w:basedOn w:val="a"/>
    <w:next w:val="a"/>
    <w:uiPriority w:val="39"/>
    <w:unhideWhenUsed/>
    <w:rsid w:val="003D6E4D"/>
    <w:pPr>
      <w:spacing w:after="57"/>
      <w:ind w:left="2268" w:firstLine="0"/>
    </w:pPr>
  </w:style>
  <w:style w:type="paragraph" w:styleId="ae">
    <w:name w:val="TOC Heading"/>
    <w:uiPriority w:val="39"/>
    <w:unhideWhenUsed/>
    <w:rsid w:val="003D6E4D"/>
  </w:style>
  <w:style w:type="paragraph" w:styleId="af">
    <w:name w:val="table of figures"/>
    <w:basedOn w:val="a"/>
    <w:next w:val="a"/>
    <w:uiPriority w:val="99"/>
    <w:unhideWhenUsed/>
    <w:rsid w:val="003D6E4D"/>
  </w:style>
  <w:style w:type="paragraph" w:styleId="af0">
    <w:name w:val="header"/>
    <w:basedOn w:val="a"/>
    <w:link w:val="af1"/>
    <w:uiPriority w:val="99"/>
    <w:unhideWhenUsed/>
    <w:rsid w:val="003D6E4D"/>
    <w:pPr>
      <w:tabs>
        <w:tab w:val="center" w:pos="4677"/>
        <w:tab w:val="right" w:pos="9355"/>
      </w:tabs>
    </w:pPr>
  </w:style>
  <w:style w:type="character" w:customStyle="1" w:styleId="af1">
    <w:name w:val="Верхний колонтитул Знак"/>
    <w:basedOn w:val="a0"/>
    <w:link w:val="af0"/>
    <w:uiPriority w:val="99"/>
    <w:rsid w:val="003D6E4D"/>
  </w:style>
  <w:style w:type="paragraph" w:styleId="af2">
    <w:name w:val="footer"/>
    <w:basedOn w:val="a"/>
    <w:link w:val="af3"/>
    <w:uiPriority w:val="99"/>
    <w:semiHidden/>
    <w:unhideWhenUsed/>
    <w:rsid w:val="003D6E4D"/>
    <w:pPr>
      <w:tabs>
        <w:tab w:val="center" w:pos="4677"/>
        <w:tab w:val="right" w:pos="9355"/>
      </w:tabs>
    </w:pPr>
  </w:style>
  <w:style w:type="character" w:customStyle="1" w:styleId="af3">
    <w:name w:val="Нижний колонтитул Знак"/>
    <w:basedOn w:val="a0"/>
    <w:link w:val="af2"/>
    <w:uiPriority w:val="99"/>
    <w:semiHidden/>
    <w:rsid w:val="003D6E4D"/>
  </w:style>
  <w:style w:type="table" w:styleId="af4">
    <w:name w:val="Table Grid"/>
    <w:basedOn w:val="a1"/>
    <w:uiPriority w:val="59"/>
    <w:rsid w:val="003D6E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3D6E4D"/>
    <w:pPr>
      <w:ind w:firstLine="709"/>
      <w:jc w:val="both"/>
    </w:pPr>
    <w:rPr>
      <w:rFonts w:ascii="Courier New" w:hAnsi="Courier New" w:cs="Courier New"/>
      <w:lang w:eastAsia="en-US"/>
    </w:rPr>
  </w:style>
  <w:style w:type="character" w:customStyle="1" w:styleId="af5">
    <w:name w:val="Основной текст Знак"/>
    <w:link w:val="af6"/>
    <w:rsid w:val="003D6E4D"/>
    <w:rPr>
      <w:rFonts w:ascii="Calibri" w:hAnsi="Calibri" w:cs="Calibri"/>
      <w:shd w:val="clear" w:color="auto" w:fill="FFFFFF"/>
    </w:rPr>
  </w:style>
  <w:style w:type="paragraph" w:styleId="af6">
    <w:name w:val="Body Text"/>
    <w:basedOn w:val="a"/>
    <w:link w:val="af5"/>
    <w:rsid w:val="003D6E4D"/>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3D6E4D"/>
  </w:style>
  <w:style w:type="paragraph" w:styleId="af7">
    <w:name w:val="List Paragraph"/>
    <w:basedOn w:val="a"/>
    <w:uiPriority w:val="34"/>
    <w:qFormat/>
    <w:rsid w:val="003D6E4D"/>
    <w:pPr>
      <w:ind w:left="720"/>
      <w:contextualSpacing/>
    </w:pPr>
  </w:style>
  <w:style w:type="paragraph" w:customStyle="1" w:styleId="Default">
    <w:name w:val="Default"/>
    <w:rsid w:val="003D6E4D"/>
    <w:pPr>
      <w:ind w:firstLine="709"/>
      <w:jc w:val="both"/>
    </w:pPr>
    <w:rPr>
      <w:rFonts w:ascii="Times New Roman" w:hAnsi="Times New Roman"/>
      <w:color w:val="000000"/>
      <w:sz w:val="24"/>
      <w:szCs w:val="24"/>
    </w:rPr>
  </w:style>
  <w:style w:type="character" w:customStyle="1" w:styleId="apple-converted-space">
    <w:name w:val="apple-converted-space"/>
    <w:basedOn w:val="a0"/>
    <w:rsid w:val="003D6E4D"/>
  </w:style>
  <w:style w:type="paragraph" w:styleId="af8">
    <w:name w:val="Normal (Web)"/>
    <w:basedOn w:val="a"/>
    <w:uiPriority w:val="99"/>
    <w:unhideWhenUsed/>
    <w:rsid w:val="003D6E4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3D6E4D"/>
    <w:rPr>
      <w:rFonts w:ascii="Times New Roman" w:eastAsia="Times New Roman" w:hAnsi="Times New Roman"/>
      <w:sz w:val="20"/>
      <w:szCs w:val="20"/>
      <w:lang w:eastAsia="ru-RU"/>
    </w:rPr>
  </w:style>
  <w:style w:type="character" w:customStyle="1" w:styleId="afa">
    <w:name w:val="Текст сноски Знак"/>
    <w:link w:val="af9"/>
    <w:uiPriority w:val="99"/>
    <w:rsid w:val="003D6E4D"/>
    <w:rPr>
      <w:rFonts w:ascii="Times New Roman" w:eastAsia="Times New Roman" w:hAnsi="Times New Roman" w:cs="Times New Roman"/>
      <w:sz w:val="20"/>
      <w:szCs w:val="20"/>
      <w:lang w:eastAsia="ru-RU"/>
    </w:rPr>
  </w:style>
  <w:style w:type="character" w:styleId="afb">
    <w:name w:val="footnote reference"/>
    <w:uiPriority w:val="99"/>
    <w:semiHidden/>
    <w:rsid w:val="003D6E4D"/>
    <w:rPr>
      <w:vertAlign w:val="superscript"/>
    </w:rPr>
  </w:style>
  <w:style w:type="character" w:customStyle="1" w:styleId="FontStyle12">
    <w:name w:val="Font Style12"/>
    <w:rsid w:val="003D6E4D"/>
    <w:rPr>
      <w:rFonts w:ascii="Times New Roman" w:hAnsi="Times New Roman" w:cs="Times New Roman" w:hint="default"/>
      <w:sz w:val="24"/>
      <w:szCs w:val="24"/>
    </w:rPr>
  </w:style>
  <w:style w:type="character" w:customStyle="1" w:styleId="afc">
    <w:name w:val="Основной текст_"/>
    <w:link w:val="14"/>
    <w:rsid w:val="003D6E4D"/>
    <w:rPr>
      <w:sz w:val="28"/>
      <w:szCs w:val="28"/>
      <w:shd w:val="clear" w:color="auto" w:fill="FFFFFF"/>
    </w:rPr>
  </w:style>
  <w:style w:type="paragraph" w:customStyle="1" w:styleId="14">
    <w:name w:val="Основной текст1"/>
    <w:basedOn w:val="a"/>
    <w:link w:val="afc"/>
    <w:rsid w:val="003D6E4D"/>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3D6E4D"/>
    <w:rPr>
      <w:rFonts w:ascii="Tahoma" w:hAnsi="Tahoma" w:cs="Tahoma"/>
      <w:sz w:val="16"/>
      <w:szCs w:val="16"/>
    </w:rPr>
  </w:style>
  <w:style w:type="character" w:customStyle="1" w:styleId="afe">
    <w:name w:val="Текст выноски Знак"/>
    <w:link w:val="afd"/>
    <w:uiPriority w:val="99"/>
    <w:semiHidden/>
    <w:rsid w:val="003D6E4D"/>
    <w:rPr>
      <w:rFonts w:ascii="Tahoma" w:hAnsi="Tahoma" w:cs="Tahoma"/>
      <w:sz w:val="16"/>
      <w:szCs w:val="16"/>
    </w:rPr>
  </w:style>
  <w:style w:type="character" w:styleId="aff">
    <w:name w:val="annotation reference"/>
    <w:uiPriority w:val="99"/>
    <w:semiHidden/>
    <w:unhideWhenUsed/>
    <w:rsid w:val="003D6E4D"/>
    <w:rPr>
      <w:sz w:val="16"/>
      <w:szCs w:val="16"/>
    </w:rPr>
  </w:style>
  <w:style w:type="paragraph" w:styleId="aff0">
    <w:name w:val="annotation text"/>
    <w:basedOn w:val="a"/>
    <w:link w:val="aff1"/>
    <w:uiPriority w:val="99"/>
    <w:unhideWhenUsed/>
    <w:rsid w:val="003D6E4D"/>
    <w:rPr>
      <w:sz w:val="20"/>
      <w:szCs w:val="20"/>
    </w:rPr>
  </w:style>
  <w:style w:type="character" w:customStyle="1" w:styleId="aff1">
    <w:name w:val="Текст примечания Знак"/>
    <w:link w:val="aff0"/>
    <w:uiPriority w:val="99"/>
    <w:rsid w:val="003D6E4D"/>
    <w:rPr>
      <w:sz w:val="20"/>
      <w:szCs w:val="20"/>
    </w:rPr>
  </w:style>
  <w:style w:type="paragraph" w:styleId="aff2">
    <w:name w:val="annotation subject"/>
    <w:basedOn w:val="aff0"/>
    <w:next w:val="aff0"/>
    <w:link w:val="aff3"/>
    <w:uiPriority w:val="99"/>
    <w:semiHidden/>
    <w:unhideWhenUsed/>
    <w:rsid w:val="003D6E4D"/>
    <w:rPr>
      <w:b/>
      <w:bCs/>
    </w:rPr>
  </w:style>
  <w:style w:type="character" w:customStyle="1" w:styleId="aff3">
    <w:name w:val="Тема примечания Знак"/>
    <w:link w:val="aff2"/>
    <w:uiPriority w:val="99"/>
    <w:semiHidden/>
    <w:rsid w:val="003D6E4D"/>
    <w:rPr>
      <w:b/>
      <w:bCs/>
      <w:sz w:val="20"/>
      <w:szCs w:val="20"/>
    </w:rPr>
  </w:style>
  <w:style w:type="character" w:customStyle="1" w:styleId="110">
    <w:name w:val="Основной текст Знак11"/>
    <w:uiPriority w:val="99"/>
    <w:semiHidden/>
    <w:rsid w:val="003D6E4D"/>
    <w:rPr>
      <w:rFonts w:cs="Times New Roman"/>
    </w:rPr>
  </w:style>
  <w:style w:type="paragraph" w:customStyle="1" w:styleId="ConsPlusNormal">
    <w:name w:val="ConsPlusNormal"/>
    <w:rsid w:val="003D6E4D"/>
    <w:rPr>
      <w:rFonts w:ascii="Times New Roman" w:hAnsi="Times New Roman"/>
      <w:sz w:val="28"/>
      <w:szCs w:val="28"/>
      <w:lang w:eastAsia="en-US"/>
    </w:rPr>
  </w:style>
  <w:style w:type="paragraph" w:styleId="aff4">
    <w:name w:val="Revision"/>
    <w:hidden/>
    <w:uiPriority w:val="99"/>
    <w:semiHidden/>
    <w:rsid w:val="003D6E4D"/>
    <w:rPr>
      <w:sz w:val="22"/>
      <w:szCs w:val="22"/>
      <w:lang w:eastAsia="en-US"/>
    </w:rPr>
  </w:style>
  <w:style w:type="character" w:styleId="aff5">
    <w:name w:val="Hyperlink"/>
    <w:basedOn w:val="a0"/>
    <w:uiPriority w:val="99"/>
    <w:unhideWhenUsed/>
    <w:rsid w:val="003D6E4D"/>
    <w:rPr>
      <w:color w:val="0563C1" w:themeColor="hyperlink"/>
      <w:u w:val="single"/>
    </w:rPr>
  </w:style>
  <w:style w:type="character" w:customStyle="1" w:styleId="FontStyle33">
    <w:name w:val="Font Style33"/>
    <w:basedOn w:val="a0"/>
    <w:uiPriority w:val="99"/>
    <w:rsid w:val="003D6E4D"/>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2D5C9FA9-2E72-49ED-90CD-608937F1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user</cp:lastModifiedBy>
  <cp:revision>4</cp:revision>
  <cp:lastPrinted>2022-12-30T09:43:00Z</cp:lastPrinted>
  <dcterms:created xsi:type="dcterms:W3CDTF">2023-01-09T05:36:00Z</dcterms:created>
  <dcterms:modified xsi:type="dcterms:W3CDTF">2023-01-19T07:12:00Z</dcterms:modified>
</cp:coreProperties>
</file>