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4" w:rsidRDefault="00D345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4574" w:rsidRDefault="00D34574">
      <w:pPr>
        <w:pStyle w:val="ConsPlusNormal"/>
        <w:jc w:val="both"/>
        <w:outlineLvl w:val="0"/>
      </w:pPr>
    </w:p>
    <w:p w:rsidR="00D34574" w:rsidRDefault="00D34574">
      <w:pPr>
        <w:pStyle w:val="ConsPlusTitle"/>
        <w:jc w:val="center"/>
        <w:outlineLvl w:val="0"/>
      </w:pPr>
      <w:r>
        <w:t>МЭРИЯ ГОРОДСКОГО ОКРУГА ТОЛЬЯТТИ</w:t>
      </w:r>
    </w:p>
    <w:p w:rsidR="00D34574" w:rsidRDefault="00D34574">
      <w:pPr>
        <w:pStyle w:val="ConsPlusTitle"/>
        <w:jc w:val="center"/>
      </w:pPr>
      <w:r>
        <w:t>САМАРСКОЙ ОБЛАСТИ</w:t>
      </w:r>
    </w:p>
    <w:p w:rsidR="00D34574" w:rsidRDefault="00D34574">
      <w:pPr>
        <w:pStyle w:val="ConsPlusTitle"/>
        <w:jc w:val="center"/>
      </w:pPr>
    </w:p>
    <w:p w:rsidR="00D34574" w:rsidRDefault="00D34574">
      <w:pPr>
        <w:pStyle w:val="ConsPlusTitle"/>
        <w:jc w:val="center"/>
      </w:pPr>
      <w:r>
        <w:t>ПОСТАНОВЛЕНИЕ</w:t>
      </w:r>
    </w:p>
    <w:p w:rsidR="00D34574" w:rsidRDefault="00D34574">
      <w:pPr>
        <w:pStyle w:val="ConsPlusTitle"/>
        <w:jc w:val="center"/>
      </w:pPr>
      <w:r>
        <w:t>от 17 мая 2013 г. N 1559-п/1</w:t>
      </w:r>
    </w:p>
    <w:p w:rsidR="00D34574" w:rsidRDefault="00D34574">
      <w:pPr>
        <w:pStyle w:val="ConsPlusTitle"/>
        <w:jc w:val="center"/>
      </w:pPr>
    </w:p>
    <w:p w:rsidR="00D34574" w:rsidRDefault="00D34574">
      <w:pPr>
        <w:pStyle w:val="ConsPlusTitle"/>
        <w:jc w:val="center"/>
      </w:pPr>
      <w:r>
        <w:t>О ПРЕДОСТАВЛЕНИИ СУБСИДИЙ СОЦИАЛЬНО ОРИЕНТИРОВАННЫМ</w:t>
      </w:r>
    </w:p>
    <w:p w:rsidR="00D34574" w:rsidRDefault="00D34574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D34574" w:rsidRDefault="00D34574">
      <w:pPr>
        <w:pStyle w:val="ConsPlusTitle"/>
        <w:jc w:val="center"/>
      </w:pPr>
      <w:r>
        <w:t>(МУНИЦИПАЛЬНЫМИ) УЧРЕЖДЕНИЯМИ, НА ОСУЩЕСТВЛЕНИЕ УСТАВНОЙ</w:t>
      </w:r>
    </w:p>
    <w:p w:rsidR="00D34574" w:rsidRDefault="00D34574">
      <w:pPr>
        <w:pStyle w:val="ConsPlusTitle"/>
        <w:jc w:val="center"/>
      </w:pPr>
      <w:r>
        <w:t>ДЕЯТЕЛЬНОСТИ</w:t>
      </w:r>
    </w:p>
    <w:p w:rsidR="00D34574" w:rsidRDefault="00D34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4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5">
              <w:r>
                <w:rPr>
                  <w:color w:val="0000FF"/>
                </w:rPr>
                <w:t>N 2262-п/1</w:t>
              </w:r>
            </w:hyperlink>
            <w:r>
              <w:rPr>
                <w:color w:val="392C69"/>
              </w:rPr>
              <w:t xml:space="preserve">, от 05.11.2013 </w:t>
            </w:r>
            <w:hyperlink r:id="rId6">
              <w:r>
                <w:rPr>
                  <w:color w:val="0000FF"/>
                </w:rPr>
                <w:t>N 3371-п/1</w:t>
              </w:r>
            </w:hyperlink>
            <w:r>
              <w:rPr>
                <w:color w:val="392C69"/>
              </w:rPr>
              <w:t xml:space="preserve">, от 15.01.2015 </w:t>
            </w:r>
            <w:hyperlink r:id="rId7">
              <w:r>
                <w:rPr>
                  <w:color w:val="0000FF"/>
                </w:rPr>
                <w:t>N 54-п/1</w:t>
              </w:r>
            </w:hyperlink>
            <w:r>
              <w:rPr>
                <w:color w:val="392C69"/>
              </w:rPr>
              <w:t>,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8">
              <w:r>
                <w:rPr>
                  <w:color w:val="0000FF"/>
                </w:rPr>
                <w:t>N 410-п/1</w:t>
              </w:r>
            </w:hyperlink>
            <w:r>
              <w:rPr>
                <w:color w:val="392C69"/>
              </w:rPr>
              <w:t xml:space="preserve">, от 25.10.2016 </w:t>
            </w:r>
            <w:hyperlink r:id="rId9">
              <w:r>
                <w:rPr>
                  <w:color w:val="0000FF"/>
                </w:rPr>
                <w:t>N 3331-п/1</w:t>
              </w:r>
            </w:hyperlink>
            <w:r>
              <w:rPr>
                <w:color w:val="392C69"/>
              </w:rPr>
              <w:t>,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0">
              <w:r>
                <w:rPr>
                  <w:color w:val="0000FF"/>
                </w:rPr>
                <w:t>N 2671-п/1</w:t>
              </w:r>
            </w:hyperlink>
            <w:r>
              <w:rPr>
                <w:color w:val="392C69"/>
              </w:rPr>
              <w:t xml:space="preserve">, от 20.02.2018 </w:t>
            </w:r>
            <w:hyperlink r:id="rId11">
              <w:r>
                <w:rPr>
                  <w:color w:val="0000FF"/>
                </w:rPr>
                <w:t>N 514-п/1</w:t>
              </w:r>
            </w:hyperlink>
            <w:r>
              <w:rPr>
                <w:color w:val="392C69"/>
              </w:rPr>
              <w:t xml:space="preserve">, от 19.07.2018 </w:t>
            </w:r>
            <w:hyperlink r:id="rId12">
              <w:r>
                <w:rPr>
                  <w:color w:val="0000FF"/>
                </w:rPr>
                <w:t>N 2114-п/1</w:t>
              </w:r>
            </w:hyperlink>
            <w:r>
              <w:rPr>
                <w:color w:val="392C69"/>
              </w:rPr>
              <w:t>,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13">
              <w:r>
                <w:rPr>
                  <w:color w:val="0000FF"/>
                </w:rPr>
                <w:t>N 772-п/1</w:t>
              </w:r>
            </w:hyperlink>
            <w:r>
              <w:rPr>
                <w:color w:val="392C69"/>
              </w:rPr>
              <w:t xml:space="preserve">, от 08.12.2022 </w:t>
            </w:r>
            <w:hyperlink r:id="rId14">
              <w:r>
                <w:rPr>
                  <w:color w:val="0000FF"/>
                </w:rPr>
                <w:t>N 3158-п/1</w:t>
              </w:r>
            </w:hyperlink>
            <w:r>
              <w:rPr>
                <w:color w:val="392C69"/>
              </w:rPr>
              <w:t xml:space="preserve">, от 07.07.2023 </w:t>
            </w:r>
            <w:hyperlink r:id="rId15">
              <w:r>
                <w:rPr>
                  <w:color w:val="0000FF"/>
                </w:rPr>
                <w:t>N 2164-п/1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</w:tr>
    </w:tbl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r>
        <w:t xml:space="preserve">В целях обеспечения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деятельности, в соответствии с </w:t>
      </w:r>
      <w:hyperlink r:id="rId16">
        <w:r>
          <w:rPr>
            <w:color w:val="0000FF"/>
          </w:rPr>
          <w:t>п. 2 ст. 78.1</w:t>
        </w:r>
      </w:hyperlink>
      <w:r>
        <w:t xml:space="preserve">, </w:t>
      </w:r>
      <w:hyperlink r:id="rId17">
        <w:r>
          <w:rPr>
            <w:color w:val="0000FF"/>
          </w:rPr>
          <w:t>ст. 86</w:t>
        </w:r>
      </w:hyperlink>
      <w:r>
        <w:t xml:space="preserve"> Бюджетного кодекса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04.08.2017 N 2671-п/1)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Установить, что к расходным обязательствам городского округа Тольятти относится предоставление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деятельности.</w:t>
      </w:r>
    </w:p>
    <w:p w:rsidR="00D34574" w:rsidRDefault="00D34574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25.10.2016 N 3331-п/1)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1.1. Установить, что расходное обязательство, установленное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исполняется за счет средств бюджета городского округа Тольятти.</w:t>
      </w:r>
    </w:p>
    <w:p w:rsidR="00D34574" w:rsidRDefault="00D34574">
      <w:pPr>
        <w:pStyle w:val="ConsPlusNormal"/>
        <w:jc w:val="both"/>
      </w:pPr>
      <w:r>
        <w:t xml:space="preserve">(п. 1.1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08.04.2022 N 772-п/1)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2. Утвердить </w:t>
      </w:r>
      <w:hyperlink w:anchor="P5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деятельности.</w:t>
      </w:r>
    </w:p>
    <w:p w:rsidR="00D34574" w:rsidRDefault="00D34574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25.10.2016 N 3331-п/1)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2.1. Установить, что предоставление субсидий,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порядком, утвержденным </w:t>
      </w:r>
      <w:hyperlink w:anchor="P25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D34574" w:rsidRDefault="00D34574">
      <w:pPr>
        <w:pStyle w:val="ConsPlusNormal"/>
        <w:jc w:val="both"/>
      </w:pPr>
      <w:r>
        <w:t xml:space="preserve">(п. 2.1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08.04.2022 N 772-п/1)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lastRenderedPageBreak/>
        <w:t xml:space="preserve">3.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за счет средств бюджета городского округа Тольятти в пределах лимитов бюджетных обязательств, доведенных до главного распорядителя средств бюджета - Управления взаимодействия с общественностью администрации городского округа Тольятти.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15.02.2016 N 410-п/1, Постановлений Администрации городского округа Тольятти Самарской области от 04.08.2017 </w:t>
      </w:r>
      <w:hyperlink r:id="rId26">
        <w:r>
          <w:rPr>
            <w:color w:val="0000FF"/>
          </w:rPr>
          <w:t>N 2671-п/1</w:t>
        </w:r>
      </w:hyperlink>
      <w:r>
        <w:t xml:space="preserve">, от 08.04.2022 </w:t>
      </w:r>
      <w:hyperlink r:id="rId27">
        <w:r>
          <w:rPr>
            <w:color w:val="0000FF"/>
          </w:rPr>
          <w:t>N 772-п/1</w:t>
        </w:r>
      </w:hyperlink>
      <w:r>
        <w:t>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4.1. </w:t>
      </w:r>
      <w:hyperlink r:id="rId28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 (газета "Городские ведомости", от 27.03.2010 N 32);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4.2. </w:t>
      </w:r>
      <w:hyperlink r:id="rId29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30.04.2010 N 1134-п/1 "О внесении изменений в Постановление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 (газета "Городские ведомости", 06.05.2010 N 49);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4.3. </w:t>
      </w:r>
      <w:hyperlink r:id="rId30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08.07.2011 N 2072-п/1 "О внесении изменений в Постановление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 (газета "Городские ведомости", 09.07.2011 N 72);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4.4. </w:t>
      </w:r>
      <w:hyperlink r:id="rId3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25.05.2012 N 1547-п/1 "О внесении изменений в Постановление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деятельности", 29.05.2012 N 54);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4.5. </w:t>
      </w:r>
      <w:hyperlink r:id="rId32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14.12.2012 N 3521-п/1 "О внесении изменений в Постановление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 (газета "Городские ведомости", 22.12.2012 N 139);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4.6. </w:t>
      </w:r>
      <w:hyperlink r:id="rId33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28.02.2013 N 602-п/1 "О внесении изменений в Постановление мэрии городского округа Тольятти от 17.03.2010 N 595-п/1 "Об утверждении Порядка предоставления субсидий некоммерческим организациям, не являющимся автономными и бюджетными учреждениями, на организационные расходы в рамках уставной деятельности" (газета "Городские ведомости", 07.03.2013 N 17).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городского округа - руководителя аппарата администрации.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04.08.2017 N 2671-п/1)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right"/>
      </w:pPr>
      <w:r>
        <w:lastRenderedPageBreak/>
        <w:t>Первый заместитель мэра</w:t>
      </w:r>
    </w:p>
    <w:p w:rsidR="00D34574" w:rsidRDefault="00D34574">
      <w:pPr>
        <w:pStyle w:val="ConsPlusNormal"/>
        <w:jc w:val="right"/>
      </w:pPr>
      <w:r>
        <w:t>А.Ю.БУЗИННЫЙ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right"/>
        <w:outlineLvl w:val="0"/>
      </w:pPr>
      <w:r>
        <w:t>Утвержден</w:t>
      </w:r>
    </w:p>
    <w:p w:rsidR="00D34574" w:rsidRDefault="00D34574">
      <w:pPr>
        <w:pStyle w:val="ConsPlusNormal"/>
        <w:jc w:val="right"/>
      </w:pPr>
      <w:r>
        <w:t>Постановлением</w:t>
      </w:r>
    </w:p>
    <w:p w:rsidR="00D34574" w:rsidRDefault="00D34574">
      <w:pPr>
        <w:pStyle w:val="ConsPlusNormal"/>
        <w:jc w:val="right"/>
      </w:pPr>
      <w:r>
        <w:t>мэрии городского округа Тольятти</w:t>
      </w:r>
    </w:p>
    <w:p w:rsidR="00D34574" w:rsidRDefault="00D34574">
      <w:pPr>
        <w:pStyle w:val="ConsPlusNormal"/>
        <w:jc w:val="right"/>
      </w:pPr>
      <w:r>
        <w:t>Самарской области</w:t>
      </w:r>
    </w:p>
    <w:p w:rsidR="00D34574" w:rsidRDefault="00D34574">
      <w:pPr>
        <w:pStyle w:val="ConsPlusNormal"/>
        <w:jc w:val="right"/>
      </w:pPr>
      <w:r>
        <w:t>от 17 мая 2013 г. N 1559-п/1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Title"/>
        <w:jc w:val="center"/>
      </w:pPr>
      <w:bookmarkStart w:id="2" w:name="P56"/>
      <w:bookmarkEnd w:id="2"/>
      <w:r>
        <w:t>ПОРЯДОК</w:t>
      </w:r>
    </w:p>
    <w:p w:rsidR="00D34574" w:rsidRDefault="00D34574">
      <w:pPr>
        <w:pStyle w:val="ConsPlusTitle"/>
        <w:jc w:val="center"/>
      </w:pPr>
      <w:r>
        <w:t>ОПРЕДЕЛЕНИЯ ОБЪЕМА И ПРЕДОСТАВЛЕНИЯ СУБСИДИЙ СОЦИАЛЬНО</w:t>
      </w:r>
    </w:p>
    <w:p w:rsidR="00D34574" w:rsidRDefault="00D34574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D34574" w:rsidRDefault="00D34574">
      <w:pPr>
        <w:pStyle w:val="ConsPlusTitle"/>
        <w:jc w:val="center"/>
      </w:pPr>
      <w:r>
        <w:t>ГОСУДАРСТВЕННЫМИ (МУНИЦИПАЛЬНЫМИ) УЧРЕЖДЕНИЯМИ,</w:t>
      </w:r>
    </w:p>
    <w:p w:rsidR="00D34574" w:rsidRDefault="00D34574">
      <w:pPr>
        <w:pStyle w:val="ConsPlusTitle"/>
        <w:jc w:val="center"/>
      </w:pPr>
      <w:r>
        <w:t>НА ОСУЩЕСТВЛЕНИЕ УСТАВНОЙ ДЕЯТЕЛЬНОСТИ</w:t>
      </w:r>
    </w:p>
    <w:p w:rsidR="00D34574" w:rsidRDefault="00D34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4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08.04.2022 </w:t>
            </w:r>
            <w:hyperlink r:id="rId35">
              <w:r>
                <w:rPr>
                  <w:color w:val="0000FF"/>
                </w:rPr>
                <w:t>N 772-п/1</w:t>
              </w:r>
            </w:hyperlink>
            <w:r>
              <w:rPr>
                <w:color w:val="392C69"/>
              </w:rPr>
              <w:t xml:space="preserve">, от 08.12.2022 </w:t>
            </w:r>
            <w:hyperlink r:id="rId36">
              <w:r>
                <w:rPr>
                  <w:color w:val="0000FF"/>
                </w:rPr>
                <w:t>N 3158-п/1</w:t>
              </w:r>
            </w:hyperlink>
            <w:r>
              <w:rPr>
                <w:color w:val="392C69"/>
              </w:rPr>
              <w:t>,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37">
              <w:r>
                <w:rPr>
                  <w:color w:val="0000FF"/>
                </w:rPr>
                <w:t>N 2164-п/1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</w:tr>
    </w:tbl>
    <w:p w:rsidR="00D34574" w:rsidRDefault="00D34574">
      <w:pPr>
        <w:pStyle w:val="ConsPlusNormal"/>
        <w:jc w:val="both"/>
      </w:pPr>
    </w:p>
    <w:p w:rsidR="00D34574" w:rsidRDefault="00D34574">
      <w:pPr>
        <w:pStyle w:val="ConsPlusTitle"/>
        <w:jc w:val="center"/>
        <w:outlineLvl w:val="1"/>
      </w:pPr>
      <w:r>
        <w:t>1. Общие положения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r>
        <w:t>1.1. Настоящий Порядок устанавливает механизм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СОНКО), на осуществление уставной деятельности (далее - субсидия).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1.2. Настоящий Порядок разработан в соответствии с </w:t>
      </w:r>
      <w:hyperlink r:id="rId38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1.3. Субсидия предоставляется в целях финансового обеспечения затрат, связанных с осуществлением уставной деятельности СОНКО, в рамках оказания финансовой поддержки, предусмотренной мероприятием, указанным в </w:t>
      </w:r>
      <w:hyperlink r:id="rId41">
        <w:r>
          <w:rPr>
            <w:color w:val="0000FF"/>
          </w:rPr>
          <w:t>п. 1.3</w:t>
        </w:r>
      </w:hyperlink>
      <w:r>
        <w:t xml:space="preserve"> Перечня мероприятий муниципальной программы "Поддержка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годы", утвержденной постановлением администрации городского округа Тольятти от 23.09.2020 N 2850-п/1 (далее - Муниципальная программа).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1.4. Главным распорядителем бюджетных средств, до которого в соответствии с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период, является Управление взаимодействия с общественностью администрации городского округа Тольятти (далее - Управление).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1.5. К категориям лиц, имеющим право на получение субсидии, относятся СОНКО, осуществляющие деятельность на территории городского округа Тольятти 5 (пять) и более лет, предшествующих году, в котором предоставляется субсидия: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1.5.1. входящие в состав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1.5.2. входящие в состав Самарской областной организации Общероссийской общественной организации "Российский союз ветеранов Афганистана";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1.5.3. к основным целям деятельности которых в соответствии с учредительными документами относится объединение прапорщиков, мичманов, офицеров, генералов и адмиралов, находящихся в запасе или отставке Вооруженных Сил Российской Федерации, силовых структур и правоохранительных органов, проживающих в городском округе Тольятти;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1.5.4. входящие в состав Общероссийской общественной благотворительной организации инвалидов - жертв политических репрессий "Российская ассоциация жертв незаконных политических репрессий";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1.5.5. входящие в состав общероссийских общественных организаций, к основным целям деятельности которых в соответствии с учредительными документами относится содействие в защите прав и законных интересов граждан, ставших инвалидами вследствие военной травмы при исполнении обязанностей военной службы (служебных обязанностей) на территории Афганистана, Российской Федерации, других государств, членов их семей, ветеранов боевых действий и членов семей военнослужащих, погибших (умерших) при исполнении обязанностей военной службы (служебных обязанностей);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1.5.6. входящие в состав Общероссийской общественной организации "Всероссийское общество инвалидов", Общероссийской общественной организации "Всероссийское общество глухих", Общероссийской общественной организации инвалидов "Всероссийское ордена Трудового Красного Знамени общество слепых";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1.5.7. объединяющие воинов-интернационалистов, проживающих в городском округе Тольятти.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1.5.8. входящие в состав Самарского окружного казачьего общества и внесенные в государственный реестр казачьих обществ в Российской Федерации.</w:t>
      </w:r>
    </w:p>
    <w:p w:rsidR="00D34574" w:rsidRDefault="00D34574">
      <w:pPr>
        <w:pStyle w:val="ConsPlusNormal"/>
        <w:jc w:val="both"/>
      </w:pPr>
      <w:r>
        <w:t xml:space="preserve">(пп. 1.5.8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08.12.2022 N 3158-п/1.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1.7. Термины и понятия, используемые в настоящем Порядке, используются в том же значении, в котором они определены действующим законодательством Российской Федерации, Самарской области.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1.8. СОНКО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1.9. Информационное сообщение о приеме документов на предоставление субсидии размещается на официальном портале администрации городского округа Тольятти: https://tgl.ru/, в разделе "Социально ориентированные некоммерческие организации": https://tgl.ru/structure/department/socialno-orientirovannye-nekommercheskie-organizacii-gorodskogo-okruga-tolyatti/ (далее - официальный портал Управления) не позднее чем за 10 (десять) рабочих дней до начала их приема (далее - Извещение).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Извещение содержит следующую информацию: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наименование, место нахождения, почтовый адрес, адрес электронной почты Управления;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наименование, юридический адрес и почтовый адрес организатора сбора документов;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цель предоставления субсидии;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дату начала подачи или окончания приема документов, которая не может быть ранее 10-го календарного дня, следующего за днем размещения Извещения;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категорию СОНКО, требования, которым должны соответствовать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перечень документов, представляемых в целях получения субсидии, требования к данным документам;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основания для отказа в предоставлении субсидии;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срок подписания соглашения о предоставлении субсидии;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указание на правовой акт, регулирующий порядок предоставления субсидии, с указанием его реквизитов (вид правового акта и его название, дата подписания и регистрационный номер правового акта, а также соответствующие источники его официального опубликования (размещения)).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1.10.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1.11.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Думы городского округа Тольятти (проекта решения Думы городского округа Тольятти о внесении изменений в решение Думы городского округа Тольятти) о бюджете городского округа Тольятти на соответствующий финансовый год и плановый период.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bookmarkStart w:id="4" w:name="P103"/>
      <w:bookmarkEnd w:id="4"/>
      <w:r>
        <w:t xml:space="preserve">2.1. К СОНКО предъявляются следующие требования, которым они должны соответствовать на дату подачи </w:t>
      </w:r>
      <w:hyperlink w:anchor="P255">
        <w:r>
          <w:rPr>
            <w:color w:val="0000FF"/>
          </w:rPr>
          <w:t>заявки</w:t>
        </w:r>
      </w:hyperlink>
      <w:r>
        <w:t xml:space="preserve"> на предоставление субсидии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по форме согласно Приложению N 1 к настоящему Порядку (далее - Заявка):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- у СОНКО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настоящим Порядком;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СОНКО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- СОНКО не должна получать средства из бюджета городского округа Тольятти на основании иных муниципальных правовых актов на цели, установленные настоящим Порядком.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2.2. В целях получения субсидии СОНКО представляют в муниципальное казенное учреждение "Центр поддержки общественных инициатив" (далее - МКУ "ЦП общественных инициатив") </w:t>
      </w:r>
      <w:hyperlink w:anchor="P255">
        <w:r>
          <w:rPr>
            <w:color w:val="0000FF"/>
          </w:rPr>
          <w:t>Заявку</w:t>
        </w:r>
      </w:hyperlink>
      <w:r>
        <w:t xml:space="preserve"> с приложением следующих документов: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2.2.1. копия учредительных документов;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2.2.2. копия свидетельства о государственной регистрации в качестве юридического лица либо листа записи Единого государственного реестра юридических лиц (далее - ЕГРЮЛ) о СОНКО, сформированного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https://egrul.nalog.ru;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2.2.3. копия свидетельства о постановке на учет в налоговом органе;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2.2.4. копия документа, подтверждающего факт избрания (назначения) на должность руководителя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2.2.5. копия справки кредитного учреждения о наличии расчетного счета у СОНКО с указанием его реквизитов;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2.2.6. документы, подтверждающие соответствие СОНКО требованиям, указанным в </w:t>
      </w:r>
      <w:hyperlink w:anchor="P72">
        <w:r>
          <w:rPr>
            <w:color w:val="0000FF"/>
          </w:rPr>
          <w:t>пункте 1.5</w:t>
        </w:r>
      </w:hyperlink>
      <w:r>
        <w:t xml:space="preserve"> настоящего Порядка (при отсутствии подтверждения указанного соответствия в учредительных документах), в том числе информационные письма, справки, выписки из протоколов соответствующих СОНКО регионального и федерального уровней;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2.2.7. справка налогового органа об отсутствии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Федерации, выданная не ранее чем за 30 календарных дней, предшествующих дате подачи заявки;</w:t>
      </w:r>
    </w:p>
    <w:p w:rsidR="00D34574" w:rsidRDefault="00D34574">
      <w:pPr>
        <w:pStyle w:val="ConsPlusNormal"/>
        <w:jc w:val="both"/>
      </w:pPr>
      <w:r>
        <w:t xml:space="preserve">(пп. 2.2.7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07.07.2023 N 2164-п/1)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2.2.8. справка налогового органа об отсутствии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 в реестре дисквалифицированных лиц;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2.2.9. копия документа, подтверждающего полномочия лица, действующего от имени СОНКО (для представителя);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2.2.10. СОНКО вправе по собственной инициативе представить выписку из ЕГРЮЛ, выданную не ранее чем за один месяц до дня окончания подачи заявок.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2.2.11. документы, подтверждающие количество структурных подразделений, входящих в состав СОНКО, созданных и осуществляющих деятельность в соответствии с учредительными документами СОНКО (при их наличии) (далее - первичные организации), в том числе протоколы о создании, отчеты о деятельности за год, предыдущий году, в котором предоставляется субсидия;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2.2.12. копия договора безвозмездного пользования (аренды) помещением, расположенным в городском округе Тольятти.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2.2.13. копия свидетельства о внесении казачьего общества в государственный реестр казачьих обществ в Российской Федерации (для казачьих обществ).</w:t>
      </w:r>
    </w:p>
    <w:p w:rsidR="00D34574" w:rsidRDefault="00D34574">
      <w:pPr>
        <w:pStyle w:val="ConsPlusNormal"/>
        <w:jc w:val="both"/>
      </w:pPr>
      <w:r>
        <w:t xml:space="preserve">(пп. 2.2.13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2.3. Копии документов,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настоящего Порядка, представляются СОНКО в МКУ "ЦП общественных инициатив"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оригиналы документов возвращаются СОНКО.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2.4. В целях получения субсидии СОНКО представляют 1 заявку.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настоящего Порядка (далее - пакет документов), представляются в МКУ "ЦП общественных инициатив" руководителем или представителем СОНКО, полномочия которого подтверждены и оформлены в соответствии с действующим законодательством Российской Федерации.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2.6. Документы представляются в МКУ "ЦП общественных инициатив" с описью представленных документов с указанием количества листов каждого документа, с оригиналами документов для сверки. Документы оформляются в печатном виде на стандартных листах формата A4. Все копии предоставляемых документов (каждая страница) должны содержать запись "Копия верна", дату, фамилию, инициалы, должность руководителя СОНКО, его подпись и скреплены печатью СОНКО. После проведения сверки оригиналы документов незамедлительно возвращаются лицу, действующему от имени СОНКО.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2.7. МКУ "ЦП общественных инициатив" проверяет представленные СОНКО документы, осуществляет прием пакетов документов (в том числе заверяет копии документов), их регистрацию с проставлением регистрационного номера, даты приема в журнале регистрации заявок.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2.8. МКУ "ЦП общественных инициатив" проверяет представленные СОНКО документы на: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2.8.1. наличие полного пакета документов, предусмотренного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2.8.2. соответствие копий документов оригиналам, представленным для сверки.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Документы, поступившие в МКУ "ЦП общественных инициатив" после окончания срока приема документов, не регистрируются и к рассмотрению не принимаются.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2.9. МКУ "ЦП общественных инициатив" в срок не позднее 2 (двух) рабочих дней, следующих за днем приема пакета документов направляет их в Управление.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2.10. Управление в течение 5 (пяти) рабочих дней после поступления пакетов документов от МКУ "ЦП общественных инициатив" распечатывает выписку из ЕГРЮЛ, а также направляет запросы в органы администрации о предоставлении информации, указанной в </w:t>
      </w:r>
      <w:hyperlink w:anchor="P106">
        <w:r>
          <w:rPr>
            <w:color w:val="0000FF"/>
          </w:rPr>
          <w:t>абзацах 3</w:t>
        </w:r>
      </w:hyperlink>
      <w:r>
        <w:t xml:space="preserve"> и </w:t>
      </w:r>
      <w:hyperlink w:anchor="P111">
        <w:r>
          <w:rPr>
            <w:color w:val="0000FF"/>
          </w:rPr>
          <w:t>7 пункта 2.1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Органы администрации в течение 3 (трех) рабочих дней направляют в Управление информацию по соответствующему запросу.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2.11. Управление в течение 15 (пятнадцати) календарных дней, следующих за днем окончания приема документов, осуществляет анализ представленных документов на предмет их соответствия, а также соответствия СОНКО требованиям настоящего Порядка, наличия (отсутствия) оснований для отказа в предоставлении субсидии, указанных в </w:t>
      </w:r>
      <w:hyperlink w:anchor="P150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2.12. Решение о предоставлении Субсидии (об отказе в предоставлении Субсидии) оформляется соответствующим постановлением администрации городского округа Тольятти или распоряжением заместителя главы городского округа (при условии наличия соответствующих полномочий) (далее - постановление/распоряжение). В решении о предоставлении Субсидии указывается общий размер предоставляемой СОНКО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Проекты указанных постановлений/распоряжений готовит Управление не позднее 20 (двадцати) рабочих дней со дня окончания приема документов и направляет на согласование в установленном порядке.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соответствующие СОНКО извещаются об этом Управлением. Письменное извещение направляется СОНКО в течение 3 (трех) рабочих дней со дня принятия постановления/распоряжения об отказе в предоставлении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2.13. Управление размещает на Едином портале, а также на официальном портале Управления информацию о результатах рассмотрения заявок в течение десяти дней со дня подписания постановления/распоряжения, в том числе следующие сведения: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дата и место проведения рассмотрения заявок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информация о СОНКО, заявки которых были рассмотрены;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информация о СОНКО, заявки которых были отклонены, с указанием оснований их отклонения;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наименование СОНКО, с которой заключается соглашение о предоставлении субсидии, и размер предоставляемой ей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2.14. Основаниями для отказа в предоставлении субсидии являются: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- несоответствие участников отбора требованиям, установленным в </w:t>
      </w:r>
      <w:hyperlink w:anchor="P72">
        <w:r>
          <w:rPr>
            <w:color w:val="0000FF"/>
          </w:rPr>
          <w:t>пунктах 1.5</w:t>
        </w:r>
      </w:hyperlink>
      <w:r>
        <w:t xml:space="preserve"> и </w:t>
      </w:r>
      <w:hyperlink w:anchor="P103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СОНКО документов требованиям, определенным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недостоверность представленной СОНКО информации, в том числе информации о месте нахождения и адресе юридического лица.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2.15. Определение размера субсидий одной СОНКО осуществляется по следующей формуле: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center"/>
      </w:pPr>
      <w:r>
        <w:t>S</w:t>
      </w:r>
      <w:r>
        <w:rPr>
          <w:vertAlign w:val="subscript"/>
        </w:rPr>
        <w:t>суб</w:t>
      </w:r>
      <w:r>
        <w:t xml:space="preserve"> = 0,5 x О</w:t>
      </w:r>
      <w:r>
        <w:rPr>
          <w:vertAlign w:val="subscript"/>
        </w:rPr>
        <w:t>ф</w:t>
      </w:r>
      <w:r>
        <w:t xml:space="preserve"> x (п / П</w:t>
      </w:r>
      <w:r>
        <w:rPr>
          <w:vertAlign w:val="subscript"/>
        </w:rPr>
        <w:t>о</w:t>
      </w:r>
      <w:r>
        <w:t xml:space="preserve"> + к / К</w:t>
      </w:r>
      <w:r>
        <w:rPr>
          <w:vertAlign w:val="subscript"/>
        </w:rPr>
        <w:t>о</w:t>
      </w:r>
      <w:r>
        <w:t>), где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суб</w:t>
      </w:r>
      <w:r>
        <w:t xml:space="preserve"> - размер субсидии одной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ф</w:t>
      </w:r>
      <w:r>
        <w:t xml:space="preserve"> - лимиты бюджетных обязательств, доведенные до Управления на соответствующие цели в текущем финансовом году;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п - площадь нежилых помещений, занимаемых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о</w:t>
      </w:r>
      <w:r>
        <w:t xml:space="preserve"> - общая площадь нежилых помещений, занимаемых СОНКО, в отношении которых отсутствуют основания для отказа в предоставлении субсидии;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к - количество первичных организаций СОНКО;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количество первичных организаций всех СОНКО, в отношении которых отсутствуют основания для отказа в предоставлении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При отсутствии у СОНКО обязательств по оплате жилищно-коммунальных услуг площадь помещения, занимаемого ей, не учитывается при расчете размера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2.15.1. Направлениями расходов, на финансовое обеспечение которых предоставляется субсидия, являются: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а) улучшение материально-технической базы СОНКО, в том числе приобретение и ремонт основных средств, приобретение и ремонт оргтехники и мебели;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б) аренда, содержание помещений, расположенных в городском округе Тольятти, в соответствии с договорами, заключенными с поставщиками жилищно-коммунальных услуг, в том числе: оплата аренды, содержания и текущего ремонта имущества, коммунальных услуг, оплата общедомовых расходов (в части занимаемых помещений в многоквартирном доме);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в) оплата услуг связи, в том числе почтовой, телефонной, услуг связи по передаче данных и предоставлению доступа к информационно-телекоммуникационной сети Интернет;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г) приобретение расходных материалов, в том числе канцтоваров, бланочной и сувенирной продукции, моющих и чистящих средств и хозяйственного инвентаря, оплата фотопечати;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д) расходы на оплату труда работников СОНКО (включая начисления страховых взносов в государственные внебюджетные фонды Российской Федерации);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е) расходы на приобретение транспортных услуг, в том числе компенсацию за использование личных автомобилей работников СОНКО в производственных (служебных) целях, оплату транспортных услуг физических и юридических лиц;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ж) расходы на проведение ремонтных работ занимаемых помещений, в том числе приобретение и установку противопожарного оборудования и сигнализации;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з) оплата банковских расходов;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и) оплата бухгалтерских услуг, включая подготовку бухгалтерской и налоговой отчетности, представление отчетности в налоговые органы и государственные внебюджетные фонды Российской Федерации; оплату пользования электронными сервисами подготовки и направления налоговой и иной обязательной отчетности в соответствии с действующим законодательством Российской Федерации, пользования электронной подписью.</w:t>
      </w:r>
    </w:p>
    <w:p w:rsidR="00D34574" w:rsidRDefault="00D34574">
      <w:pPr>
        <w:pStyle w:val="ConsPlusNormal"/>
        <w:jc w:val="both"/>
      </w:pPr>
      <w:r>
        <w:t xml:space="preserve">(п. 2.15.1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0" w:name="P176"/>
      <w:bookmarkEnd w:id="10"/>
      <w:r>
        <w:t>2.16. Размер средств субсидии, обеспечивающий отдельные направления расходов СОНКО, не должен превышать: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а) 30% общего объема субсидии на оплату услуг связи, в том числе почтовой, телефонной, услуг связи по передаче данных и предоставлению доступа к информационно-телекоммуникационной сети Интернет;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б) 60% общего объема субсидии на расходы на оплату труда работников СОНКО (включая начисления страховых взносов в государственные внебюджетные фонды Российской Федерации);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в) 30% общего объема субсидии на компенсацию за использование личных автомобилей работников СОНКО в производственных (служебных) целях.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>2.17. СОНКО, получающие субсидии, а также лица, являющиеся поставщиками, не вправе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D34574" w:rsidRDefault="00D34574">
      <w:pPr>
        <w:pStyle w:val="ConsPlusNormal"/>
        <w:jc w:val="both"/>
      </w:pPr>
      <w:r>
        <w:t xml:space="preserve">(п. 2.17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 xml:space="preserve">2.18. В течение 3 (трех) рабочих дней с даты подписания постановления/распоряжения о предоставлении субсидии СОНКО, указанные в нем (далее - получатели), представляют в МКУ "ЦП общественных инициатив" сметы затрат в рамках субсидии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по </w:t>
      </w:r>
      <w:hyperlink w:anchor="P352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(далее - смета).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2.19. МКУ "ЦП общественных инициатив" осуществляет прием и регистрацию смет в журнале регистрации и направляет их в Управление в течение 2 (двух) рабочих дней со дня окончания приема смет, указанного в </w:t>
      </w:r>
      <w:hyperlink w:anchor="P184">
        <w:r>
          <w:rPr>
            <w:color w:val="0000FF"/>
          </w:rPr>
          <w:t>пункте 2.18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2.20. Управление в течение 5 (пяти) рабочих дней со дня получения рассматривает сметы на соответствие требованиям, указанным в </w:t>
      </w:r>
      <w:hyperlink w:anchor="P165">
        <w:r>
          <w:rPr>
            <w:color w:val="0000FF"/>
          </w:rPr>
          <w:t>пунктах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2.21. В случае несоответствия сметы требованиям, указанным в </w:t>
      </w:r>
      <w:hyperlink w:anchor="P165">
        <w:r>
          <w:rPr>
            <w:color w:val="0000FF"/>
          </w:rPr>
          <w:t>пунктах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Порядка, Управление посредством электронной почты, адрес которой указан в заявке, информирует получателя о необходимости в течение 3 (трех) рабочих дней привести смету в соответствие требованиям, указанным в </w:t>
      </w:r>
      <w:hyperlink w:anchor="P165">
        <w:r>
          <w:rPr>
            <w:color w:val="0000FF"/>
          </w:rPr>
          <w:t>пунктах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2.22. В случае отказа получателя от исполнения требования, указанного в </w:t>
      </w:r>
      <w:hyperlink w:anchor="P188">
        <w:r>
          <w:rPr>
            <w:color w:val="0000FF"/>
          </w:rPr>
          <w:t>пункте 2.21</w:t>
        </w:r>
      </w:hyperlink>
      <w:r>
        <w:t xml:space="preserve"> настоящего Порядка, субсидия ему не предоставляется.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2.23. В течение 10 (десяти) рабочих дней с даты подписания постановления/распоряжения о предоставлении субсидии Управление организует заключение с получателями соглашений о предоставлении субсидий. 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</w:t>
      </w:r>
      <w:hyperlink r:id="rId58">
        <w:r>
          <w:rPr>
            <w:color w:val="0000FF"/>
          </w:rPr>
          <w:t>пунктами 3</w:t>
        </w:r>
      </w:hyperlink>
      <w:r>
        <w:t xml:space="preserve"> и </w:t>
      </w:r>
      <w:hyperlink r:id="rId59">
        <w:r>
          <w:rPr>
            <w:color w:val="0000FF"/>
          </w:rPr>
          <w:t>7 статьи 78</w:t>
        </w:r>
      </w:hyperlink>
      <w:r>
        <w:t xml:space="preserve">, </w:t>
      </w:r>
      <w:hyperlink r:id="rId60">
        <w:r>
          <w:rPr>
            <w:color w:val="0000FF"/>
          </w:rPr>
          <w:t>пунктами 2</w:t>
        </w:r>
      </w:hyperlink>
      <w:r>
        <w:t xml:space="preserve"> и </w:t>
      </w:r>
      <w:hyperlink r:id="rId61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Федерации, установленной постановлением администрации городского округа Тольятти (далее - Соглашение, Типовая форма соглашения).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2.24.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Федерации, то заключение соглашений о предоставлении субсидий из бюджета городского округа Тольятти осуществляется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2.25. Обязательными условиями предоставления субсидии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поставщиками), на осуществление Управлением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62">
        <w:r>
          <w:rPr>
            <w:color w:val="0000FF"/>
          </w:rPr>
          <w:t>статьями 268.1</w:t>
        </w:r>
      </w:hyperlink>
      <w:r>
        <w:t xml:space="preserve"> и </w:t>
      </w:r>
      <w:hyperlink r:id="rId63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Порядком.</w:t>
      </w:r>
    </w:p>
    <w:p w:rsidR="00D34574" w:rsidRDefault="00D3457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Согласие СОНКО на осуществление Управлением, органами муниципального (государственного) финансового контроля проверок соблюдения ими порядка и условий предоставления субсидии выражается путем подписания СОНКО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2.26. Перечисление субсидии осуществляется на расчетный счет, открытый получателю субсидии в кредитной организации, в сроки, установленные Соглашением.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2.27. Счет для перечисления субсидии определяется на основании справки кредитного учреждения о наличии расчетного счета у получателя, представленной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2.28.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Соглашения, а также случаи и порядок досрочного прекращения соглашения о предоставлении субсидии.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Дополнительные соглашения к Соглашению, предусматривающие внесение в Соглашение изменений или досрочное прекращение Соглашения о предоставлении субсидии, оформляются в соответствии с приложениями к Типовой форме соглашения.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2.29. В случае если после заключения Соглашения при осуществлении уставной деятельности у получателя возникла потребность в расходах, не предусмотренных сметой, соответствующие значения сметы уточняются им с учетом требований, указанных в </w:t>
      </w:r>
      <w:hyperlink w:anchor="P165">
        <w:r>
          <w:rPr>
            <w:color w:val="0000FF"/>
          </w:rPr>
          <w:t>пунктах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Уточненная смета направляется получателем в Управление с мотивированным обоснованием причин изменения соответствующих значений.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В случае если уточненная смета соответствует требованиям, установленным </w:t>
      </w:r>
      <w:hyperlink w:anchor="P165">
        <w:r>
          <w:rPr>
            <w:color w:val="0000FF"/>
          </w:rPr>
          <w:t>пунктами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Порядка, Управление в течение 10 (десяти) рабочих дней письменно извещает получателя о согласовании уточненной сметы.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В случае если уточненная смета не соответствует требованиям, установленным </w:t>
      </w:r>
      <w:hyperlink w:anchor="P165">
        <w:r>
          <w:rPr>
            <w:color w:val="0000FF"/>
          </w:rPr>
          <w:t>пунктами 2.15.1</w:t>
        </w:r>
      </w:hyperlink>
      <w:r>
        <w:t xml:space="preserve">, </w:t>
      </w:r>
      <w:hyperlink w:anchor="P176">
        <w:r>
          <w:rPr>
            <w:color w:val="0000FF"/>
          </w:rPr>
          <w:t>2.16</w:t>
        </w:r>
      </w:hyperlink>
      <w:r>
        <w:t xml:space="preserve">, </w:t>
      </w:r>
      <w:hyperlink w:anchor="P182">
        <w:r>
          <w:rPr>
            <w:color w:val="0000FF"/>
          </w:rPr>
          <w:t>2.17</w:t>
        </w:r>
      </w:hyperlink>
      <w:r>
        <w:t xml:space="preserve"> настоящего Порядка, Управление в течение 10 (десяти) рабочих дней письменно извещает получателя субсидии об отказе в согласовании уточненной сметы.</w:t>
      </w:r>
    </w:p>
    <w:p w:rsidR="00D34574" w:rsidRDefault="00D34574">
      <w:pPr>
        <w:pStyle w:val="ConsPlusNormal"/>
        <w:jc w:val="both"/>
      </w:pPr>
      <w:r>
        <w:t xml:space="preserve">(п. 2.29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2.30. В случае отказа получателя от заключения Соглашения либо нарушения порядка заключения Соглашения он признается уклонившимся от заключения Соглашения. Управление в течение 10 (десяти) календарных дней со дня истечения срока заключения Соглашения, установленного </w:t>
      </w:r>
      <w:hyperlink w:anchor="P191">
        <w:r>
          <w:rPr>
            <w:color w:val="0000FF"/>
          </w:rPr>
          <w:t>пунктом 2.23</w:t>
        </w:r>
      </w:hyperlink>
      <w:r>
        <w:t xml:space="preserve"> настоящего Порядка, готовит проект постановления/распоряжения о внесении изменений в постановление/распоряжение в части исключения данного получателя и изменения размера субсидии остальным получателям в пределах утвержденных лимитов бюджетных обязательств, доведенных до Управления на предоставление субсидий на соответствующий финансовый год и плановый период.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5" w:name="P206"/>
      <w:bookmarkEnd w:id="15"/>
      <w:r>
        <w:t>2.31. 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 путем проведения не менее 90% от количества мероприятий, предусмотренных планом работы получателя на текущий год, указанным в заявке.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Title"/>
        <w:jc w:val="center"/>
        <w:outlineLvl w:val="1"/>
      </w:pPr>
      <w:bookmarkStart w:id="16" w:name="P208"/>
      <w:bookmarkEnd w:id="16"/>
      <w:r>
        <w:t>Раздел III. Требования к отчетности</w:t>
      </w:r>
    </w:p>
    <w:p w:rsidR="00D34574" w:rsidRDefault="00D34574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D34574" w:rsidRDefault="00D34574">
      <w:pPr>
        <w:pStyle w:val="ConsPlusNormal"/>
        <w:jc w:val="center"/>
      </w:pPr>
      <w:r>
        <w:t>Тольятти Самарской области от 08.12.2022 N 3158-п/1)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r>
        <w:t xml:space="preserve">3.1. СОНКО представляют в Управление отчеты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заверенные печатью и подписью руководителя получателя, по формам, определенным Типовой формой соглашения, с приложением копий документов, подтверждающих расходы, указанные в </w:t>
      </w:r>
      <w:hyperlink w:anchor="P165">
        <w:r>
          <w:rPr>
            <w:color w:val="0000FF"/>
          </w:rPr>
          <w:t>пункте 2.15.1</w:t>
        </w:r>
      </w:hyperlink>
      <w:r>
        <w:t xml:space="preserve"> настоящего Порядка, в следующие сроки: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ежеквартальные - до 15 апреля, 15 июля, 15 октября года, в котором предоставляется субсидия, нарастающим итогом;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итоговый - до 20 декабря года, в котором предоставляется субсидия.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3.2. Управление вправе устанавливать в Соглашении сроки и формы представления получателями дополнительных отчетов.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D34574" w:rsidRDefault="00D34574">
      <w:pPr>
        <w:pStyle w:val="ConsPlusTitle"/>
        <w:jc w:val="center"/>
      </w:pPr>
      <w:r>
        <w:t>условий и порядка предоставления субсидий и ответственность</w:t>
      </w:r>
    </w:p>
    <w:p w:rsidR="00D34574" w:rsidRDefault="00D34574">
      <w:pPr>
        <w:pStyle w:val="ConsPlusTitle"/>
        <w:jc w:val="center"/>
      </w:pPr>
      <w:r>
        <w:t>за их нарушение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ind w:firstLine="540"/>
        <w:jc w:val="both"/>
      </w:pPr>
      <w:r>
        <w:t>4.1. Управлением и органами государственного (муниципального) финансового контроля осуществляются проверки получателей и поставщиков.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4.2. Управлением осуществляется проверка соблюдения получателями субсидии и поставщиками порядка и условий предоставления субсидий, в том числе в части достижения результатов предоставления субсидии (далее - проверка); органами государственного (муниципального) финансового контроля в установленном порядке осуществляется проверка в соответствии со </w:t>
      </w:r>
      <w:hyperlink r:id="rId67">
        <w:r>
          <w:rPr>
            <w:color w:val="0000FF"/>
          </w:rPr>
          <w:t>статьями 268.1</w:t>
        </w:r>
      </w:hyperlink>
      <w:r>
        <w:t xml:space="preserve"> и </w:t>
      </w:r>
      <w:hyperlink r:id="rId6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34574" w:rsidRDefault="00D34574">
      <w:pPr>
        <w:pStyle w:val="ConsPlusNormal"/>
        <w:jc w:val="both"/>
      </w:pPr>
      <w:r>
        <w:t xml:space="preserve">(п. 4.2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4.3. Проверка осуществляется Управлением на основании отчетов, предусмотренных </w:t>
      </w:r>
      <w:hyperlink w:anchor="P208">
        <w:r>
          <w:rPr>
            <w:color w:val="0000FF"/>
          </w:rPr>
          <w:t>разделом III</w:t>
        </w:r>
      </w:hyperlink>
      <w:r>
        <w:t xml:space="preserve"> настоящего Порядка, информации, полученной от органов государственной власти, органов местного самоуправления, организаций, граждан, из средств массовой информации, иной информации (документов), представленных получателем (поставщиком) по запросу Управления, а также информации, полученной путем выезда в место нахождения (осуществления деятельности) получателя (поставщика).</w:t>
      </w:r>
    </w:p>
    <w:p w:rsidR="00D34574" w:rsidRDefault="00D34574">
      <w:pPr>
        <w:pStyle w:val="ConsPlusNormal"/>
        <w:jc w:val="both"/>
      </w:pPr>
      <w:r>
        <w:t xml:space="preserve">(п. 4.3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08.12.2022 N 3158-п/1)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4.4. Проверки по месту нахождения получателя осуществляются работниками Управления не реже одного раза в течение текущего финансового года.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4.5. При проверке по месту нахождения получателя выявляются в том числе: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наличие приобретенных за счет средств субсидии материальных запасов (в том числе их соответствие документации, включая технический паспорт, сертификат качества, инструкцию по эксплуатации, товарные накладные, счета-фактуры), работоспособность и использование для уставной деятельности;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- отражение в бухгалтерском учете приобретенных за счет средств субсидии материальных запасов.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4.6.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факте(ах) нарушения получателем порядка и условий предоставления субсидии, предусмотренных настоящим Порядком, Управление в течение 10 (десяти) календарных дней со дня выявления данного(ых) факта(ов) направляет получателю требование об устранении факта(ов) нарушения либо об обеспечении возврата субсидии в бюджет городского округа Тольятти (далее - требование). Требование подготавливается Управлением в письменной форме с указанием получателя, срока устранения факта(ов) нарушения или возврата, платежных реквизитов и суммы субсидии, подлежащей возврату (с приложением расчета (при необходимости)).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4.7. Получатель в течение 20 (двадцати) календарных дней со дня получения требования устраняет факты нарушения порядка и условий предоставления субсидии в сроки, определенные в требовании.</w:t>
      </w:r>
    </w:p>
    <w:p w:rsidR="00D34574" w:rsidRDefault="00D34574">
      <w:pPr>
        <w:pStyle w:val="ConsPlusNormal"/>
        <w:spacing w:before="220"/>
        <w:ind w:firstLine="540"/>
        <w:jc w:val="both"/>
      </w:pPr>
      <w:bookmarkStart w:id="17" w:name="P232"/>
      <w:bookmarkEnd w:id="17"/>
      <w:r>
        <w:t>4.8. В случае неустранения фактов нарушения порядка и условий предоставления субсидии, выявленного в том числе при проведении проверок, получатель в течение 20 (двадцати) календарных дней осуществляет возврат субсидии в бюджет городского округа Тольятти.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4.9. В случае невозврата субсидии ее получателем в соответствии с </w:t>
      </w:r>
      <w:hyperlink w:anchor="P232">
        <w:r>
          <w:rPr>
            <w:color w:val="0000FF"/>
          </w:rPr>
          <w:t>пунктом 4.8</w:t>
        </w:r>
      </w:hyperlink>
      <w:r>
        <w:t xml:space="preserve"> настоящего Порядка она подлежит взысканию в порядке, установленном действующим законодательством.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 xml:space="preserve">4.10. В случае недостижения получателем результата предоставления субсидии, значение которого установлено в </w:t>
      </w:r>
      <w:hyperlink w:anchor="P206">
        <w:r>
          <w:rPr>
            <w:color w:val="0000FF"/>
          </w:rPr>
          <w:t>пункте 2.31</w:t>
        </w:r>
      </w:hyperlink>
      <w:r>
        <w:t xml:space="preserve"> настоящего Порядка, получатель осуществляет возврат субсидии в бюджет городского округа Тольятти в размере и в сроки, определенные в требовании.</w:t>
      </w:r>
    </w:p>
    <w:p w:rsidR="00D34574" w:rsidRDefault="00D34574">
      <w:pPr>
        <w:pStyle w:val="ConsPlusNormal"/>
        <w:spacing w:before="220"/>
        <w:ind w:firstLine="540"/>
        <w:jc w:val="both"/>
      </w:pPr>
      <w:r>
        <w:t>4.11. Не использованные получателем в текущем финансовом году остатки средств субсидии подлежат возврату в бюджет городского округа Тольятти в срок до 20 декабря года, в котором была предоставлена субсидия.</w:t>
      </w: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right"/>
        <w:outlineLvl w:val="1"/>
      </w:pPr>
      <w:r>
        <w:t>Приложение N 1</w:t>
      </w:r>
    </w:p>
    <w:p w:rsidR="00D34574" w:rsidRDefault="00D34574">
      <w:pPr>
        <w:pStyle w:val="ConsPlusNormal"/>
        <w:jc w:val="right"/>
      </w:pPr>
      <w:r>
        <w:t>к Порядку</w:t>
      </w:r>
    </w:p>
    <w:p w:rsidR="00D34574" w:rsidRDefault="00D34574">
      <w:pPr>
        <w:pStyle w:val="ConsPlusNormal"/>
        <w:jc w:val="right"/>
      </w:pPr>
      <w:r>
        <w:t>определения объема и предоставления</w:t>
      </w:r>
    </w:p>
    <w:p w:rsidR="00D34574" w:rsidRDefault="00D34574">
      <w:pPr>
        <w:pStyle w:val="ConsPlusNormal"/>
        <w:jc w:val="right"/>
      </w:pPr>
      <w:r>
        <w:t>субсидий социально ориентированным</w:t>
      </w:r>
    </w:p>
    <w:p w:rsidR="00D34574" w:rsidRDefault="00D34574">
      <w:pPr>
        <w:pStyle w:val="ConsPlusNormal"/>
        <w:jc w:val="right"/>
      </w:pPr>
      <w:r>
        <w:t>некоммерческим организациям, не являющимся</w:t>
      </w:r>
    </w:p>
    <w:p w:rsidR="00D34574" w:rsidRDefault="00D34574">
      <w:pPr>
        <w:pStyle w:val="ConsPlusNormal"/>
        <w:jc w:val="right"/>
      </w:pPr>
      <w:r>
        <w:t>государственными (муниципальными) учреждениями,</w:t>
      </w:r>
    </w:p>
    <w:p w:rsidR="00D34574" w:rsidRDefault="00D34574">
      <w:pPr>
        <w:pStyle w:val="ConsPlusNormal"/>
        <w:jc w:val="right"/>
      </w:pPr>
      <w:r>
        <w:t>на осуществление уставной деятельности,</w:t>
      </w:r>
    </w:p>
    <w:p w:rsidR="00D34574" w:rsidRDefault="00D34574">
      <w:pPr>
        <w:pStyle w:val="ConsPlusNormal"/>
        <w:jc w:val="right"/>
      </w:pPr>
      <w:r>
        <w:t>утвержденному постановлением мэрии</w:t>
      </w:r>
    </w:p>
    <w:p w:rsidR="00D34574" w:rsidRDefault="00D34574">
      <w:pPr>
        <w:pStyle w:val="ConsPlusNormal"/>
        <w:jc w:val="right"/>
      </w:pPr>
      <w:r>
        <w:t>городского округа Тольятти</w:t>
      </w:r>
    </w:p>
    <w:p w:rsidR="00D34574" w:rsidRDefault="00D34574">
      <w:pPr>
        <w:pStyle w:val="ConsPlusNormal"/>
        <w:jc w:val="right"/>
      </w:pPr>
      <w:r>
        <w:t>от 17 мая 2013 г. N 1559-п/1</w:t>
      </w:r>
    </w:p>
    <w:p w:rsidR="00D34574" w:rsidRDefault="00D34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34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D34574" w:rsidRDefault="00D34574">
            <w:pPr>
              <w:pStyle w:val="ConsPlusNormal"/>
              <w:jc w:val="center"/>
            </w:pPr>
            <w:r>
              <w:rPr>
                <w:color w:val="392C69"/>
              </w:rPr>
              <w:t>области от 07.07.2023 N 2164-п/1)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574" w:rsidRDefault="00D34574">
            <w:pPr>
              <w:pStyle w:val="ConsPlusNormal"/>
            </w:pPr>
          </w:p>
        </w:tc>
      </w:tr>
    </w:tbl>
    <w:p w:rsidR="00D34574" w:rsidRDefault="00D345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3"/>
        <w:gridCol w:w="2865"/>
        <w:gridCol w:w="374"/>
        <w:gridCol w:w="2220"/>
        <w:gridCol w:w="405"/>
        <w:gridCol w:w="397"/>
        <w:gridCol w:w="2033"/>
      </w:tblGrid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bookmarkStart w:id="18" w:name="P255"/>
            <w:bookmarkEnd w:id="18"/>
            <w:r>
              <w:t>ЗАЯВКА</w:t>
            </w:r>
          </w:p>
          <w:p w:rsidR="00D34574" w:rsidRDefault="00D34574">
            <w:pPr>
              <w:pStyle w:val="ConsPlusNormal"/>
              <w:jc w:val="center"/>
            </w:pPr>
            <w:r>
              <w:t>на предоставление субсидии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Регистрационный номер</w:t>
            </w: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1. Полное наименование СОНКО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  <w:r>
              <w:t>(далее - СОНКО).</w:t>
            </w: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2. Место нахождения СОНКО: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3. Контактная информация:</w:t>
            </w: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телефон/факс СОНКО: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e-mail СОНКО: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телефон руководителя СОНКО: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телефон бухгалтера СОНКО: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4. Банковские реквизиты: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5. Сведения об объекте муниципального имущества, предоставленного СОНКО в безвозмездное пользование либо в аренду: адрес, общая площадь, номер договора, срок предоставления в безвозмездное пользование либо в аренду (при наличии)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6. Общее количество членов/сотрудников СОНКО (человек)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7. Количество структурных подразделений, входящих в состав СОНКО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8. Наименование муниципального образования, на территории которого СОНКО осуществляет свою деятельность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9. Прошу предоставить субсидию на осуществление уставной деятельности.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10. Настоящим подтверждаю соответствие СОНКО на дату подачи Заявки следующим требованиям: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у СОНКО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у СОНКО отсутствует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Тольятти;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СОНКО не находится в процессе реорганизации (за исключением реорганизации в форме присоединения к юридическому лицу, подавшему Заявку),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- 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540"/>
              <w:jc w:val="both"/>
            </w:pPr>
            <w:r>
              <w:t xml:space="preserve">- СОНКО не получает средства из бюджета городского округа Тольятти на основании иных муниципальных правовых актов на цели, установленные </w:t>
            </w:r>
            <w:hyperlink w:anchor="P56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деятельности, утвержденным постановлением администрации городского округа от 17.05.2013 N 1559-п/1 (далее - Порядок).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11. План работы на текущий год (дата, наименование мероприятия):</w:t>
            </w:r>
          </w:p>
        </w:tc>
      </w:tr>
      <w:tr w:rsidR="00D3457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.....</w:t>
            </w:r>
          </w:p>
        </w:tc>
        <w:tc>
          <w:tcPr>
            <w:tcW w:w="8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12. Настоящим гарантирую, что информация и сведения, изложенные в настоящей заявке и прилагаемых к ней документах, достоверны, полны, актуальны и оформлены надлежащим образом.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С Порядком ознакомлен, его содержание и смысл мне понятны, обязуюсь выполнять установленные им требования.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Об ответственности за представление заведомо недостоверной информации (ложных сведений), документов, а также нарушение порядка и условий предоставления субсидии мне известно.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(Ф.И.О.)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Дата: "______" 20__ г.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М.П.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ind w:firstLine="283"/>
              <w:jc w:val="both"/>
            </w:pPr>
            <w:r>
              <w:t>Настоящим подтверждаю согласие на публикацию (размещение) в информационно-телекоммуникационной сети Интернет информации о СОНКО, о подаваемой заявке, иной информации, связанной с предоставлением субсидии СОНКО на осуществление уставной деятельности.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(Ф.И.О.)</w:t>
            </w:r>
          </w:p>
        </w:tc>
      </w:tr>
      <w:tr w:rsidR="00D34574"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Дата: "______" 20__ г.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</w:tbl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right"/>
        <w:outlineLvl w:val="1"/>
      </w:pPr>
      <w:r>
        <w:t>Приложение N 2</w:t>
      </w:r>
    </w:p>
    <w:p w:rsidR="00D34574" w:rsidRDefault="00D34574">
      <w:pPr>
        <w:pStyle w:val="ConsPlusNormal"/>
        <w:jc w:val="right"/>
      </w:pPr>
      <w:r>
        <w:t>к Порядку</w:t>
      </w:r>
    </w:p>
    <w:p w:rsidR="00D34574" w:rsidRDefault="00D34574">
      <w:pPr>
        <w:pStyle w:val="ConsPlusNormal"/>
        <w:jc w:val="right"/>
      </w:pPr>
      <w:r>
        <w:t>определения объема и предоставления</w:t>
      </w:r>
    </w:p>
    <w:p w:rsidR="00D34574" w:rsidRDefault="00D34574">
      <w:pPr>
        <w:pStyle w:val="ConsPlusNormal"/>
        <w:jc w:val="right"/>
      </w:pPr>
      <w:r>
        <w:t>субсидий социально ориентированным</w:t>
      </w:r>
    </w:p>
    <w:p w:rsidR="00D34574" w:rsidRDefault="00D34574">
      <w:pPr>
        <w:pStyle w:val="ConsPlusNormal"/>
        <w:jc w:val="right"/>
      </w:pPr>
      <w:r>
        <w:t>некоммерческим организациям, не являющимся</w:t>
      </w:r>
    </w:p>
    <w:p w:rsidR="00D34574" w:rsidRDefault="00D34574">
      <w:pPr>
        <w:pStyle w:val="ConsPlusNormal"/>
        <w:jc w:val="right"/>
      </w:pPr>
      <w:r>
        <w:t>государственными (муниципальными) учреждениями,</w:t>
      </w:r>
    </w:p>
    <w:p w:rsidR="00D34574" w:rsidRDefault="00D34574">
      <w:pPr>
        <w:pStyle w:val="ConsPlusNormal"/>
        <w:jc w:val="right"/>
      </w:pPr>
      <w:r>
        <w:t>на осуществление уставной деятельности,</w:t>
      </w:r>
    </w:p>
    <w:p w:rsidR="00D34574" w:rsidRDefault="00D34574">
      <w:pPr>
        <w:pStyle w:val="ConsPlusNormal"/>
        <w:jc w:val="right"/>
      </w:pPr>
      <w:r>
        <w:t>утвержденному постановлением мэрии</w:t>
      </w:r>
    </w:p>
    <w:p w:rsidR="00D34574" w:rsidRDefault="00D34574">
      <w:pPr>
        <w:pStyle w:val="ConsPlusNormal"/>
        <w:jc w:val="right"/>
      </w:pPr>
      <w:r>
        <w:t>городского округа Тольятти</w:t>
      </w:r>
    </w:p>
    <w:p w:rsidR="00D34574" w:rsidRDefault="00D34574">
      <w:pPr>
        <w:pStyle w:val="ConsPlusNormal"/>
        <w:jc w:val="right"/>
      </w:pPr>
      <w:r>
        <w:t>от 17 мая 2013 г. N 1559-п/1</w:t>
      </w:r>
    </w:p>
    <w:p w:rsidR="00D34574" w:rsidRDefault="00D345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9"/>
        <w:gridCol w:w="6045"/>
      </w:tblGrid>
      <w:tr w:rsidR="00D34574"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D34574" w:rsidRDefault="00D34574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(запись вносится специалистом МКУ "ЦП общественных инициатив")</w:t>
            </w:r>
          </w:p>
        </w:tc>
      </w:tr>
      <w:tr w:rsidR="00D34574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bookmarkStart w:id="19" w:name="P352"/>
            <w:bookmarkEnd w:id="19"/>
            <w:r>
              <w:t>Смета затрат</w:t>
            </w:r>
          </w:p>
          <w:p w:rsidR="00D34574" w:rsidRDefault="00D34574">
            <w:pPr>
              <w:pStyle w:val="ConsPlusNormal"/>
              <w:jc w:val="center"/>
            </w:pPr>
            <w:r>
              <w:t>в рамках субсидии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      </w:r>
          </w:p>
        </w:tc>
      </w:tr>
      <w:tr w:rsidR="00D34574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(наименование СОНКО в соответствии с Уставом)</w:t>
            </w:r>
          </w:p>
        </w:tc>
      </w:tr>
    </w:tbl>
    <w:p w:rsidR="00D34574" w:rsidRDefault="00D345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843"/>
        <w:gridCol w:w="2438"/>
      </w:tblGrid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</w:pPr>
            <w:r>
              <w:t>Улучшение собственной материально-технической базы, в том числе приобретение и ремонт основных средств, приобретение и ремонт оргтехники и мебели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Оплата аренды, содержания помещений, расположенных в городском округе Тольятти, в соответствии с договорами, заключенными с поставщиками жилищно-коммунальных услуг, в том числе: оплата аренды, содержания и текущего ремонта имущества, коммунальных услуг, оплата общедомовых расходов (в части занимаемых помещений в многоквартирном доме)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Оплата услуг связи, в том числе почтовой, телефонной, услуг связи по передаче данных и предоставлению доступа к информационно-телекоммуникационной сети Интернет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Приобретение расходных материалов, в том числе канцтоваров, бланочной и сувенирной продукции, моющих и чистящих средств и хозяйственного инвентаря, оплата фотопечати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Расходы на оплату труда работников СОНКО (включая начисления)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Расходы на приобретение транспортных услуг, в том числе компенсацию за использование личных автомобилей работников СОНКО в производственных (служебных) целях, оплату транспортных услуг физических и юридических лиц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Расходы на проведение ремонтных работ занимаемых помещений, в том числе приобретение и установка противопожарного оборудования и сигнализации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Оплата банковских расходов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43" w:type="dxa"/>
          </w:tcPr>
          <w:p w:rsidR="00D34574" w:rsidRDefault="00D34574">
            <w:pPr>
              <w:pStyle w:val="ConsPlusNormal"/>
              <w:jc w:val="both"/>
            </w:pPr>
            <w:r>
              <w:t>Оплата бухгалтерских услуг, включая подготовку бухгалтерской и налоговой отчетности, представление отчетности в налоговые органы и внебюджетные фонды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680" w:type="dxa"/>
          </w:tcPr>
          <w:p w:rsidR="00D34574" w:rsidRDefault="00D34574">
            <w:pPr>
              <w:pStyle w:val="ConsPlusNormal"/>
            </w:pPr>
          </w:p>
        </w:tc>
        <w:tc>
          <w:tcPr>
            <w:tcW w:w="5843" w:type="dxa"/>
          </w:tcPr>
          <w:p w:rsidR="00D34574" w:rsidRDefault="00D34574">
            <w:pPr>
              <w:pStyle w:val="ConsPlusNormal"/>
            </w:pPr>
            <w:r>
              <w:t>Итого:</w:t>
            </w:r>
          </w:p>
        </w:tc>
        <w:tc>
          <w:tcPr>
            <w:tcW w:w="2438" w:type="dxa"/>
          </w:tcPr>
          <w:p w:rsidR="00D34574" w:rsidRDefault="00D34574">
            <w:pPr>
              <w:pStyle w:val="ConsPlusNormal"/>
            </w:pPr>
          </w:p>
        </w:tc>
      </w:tr>
    </w:tbl>
    <w:p w:rsidR="00D34574" w:rsidRDefault="00D345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0"/>
        <w:gridCol w:w="450"/>
        <w:gridCol w:w="2280"/>
        <w:gridCol w:w="435"/>
        <w:gridCol w:w="4352"/>
      </w:tblGrid>
      <w:tr w:rsidR="00D34574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Руководитель: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(Ф.И.О.)</w:t>
            </w:r>
          </w:p>
        </w:tc>
      </w:tr>
      <w:tr w:rsidR="00D3457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Бухгалтер: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74" w:rsidRDefault="00D34574">
            <w:pPr>
              <w:pStyle w:val="ConsPlusNormal"/>
            </w:pPr>
          </w:p>
        </w:tc>
      </w:tr>
      <w:tr w:rsidR="00D3457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center"/>
            </w:pPr>
            <w:r>
              <w:t>(Ф.И.О.)</w:t>
            </w:r>
          </w:p>
        </w:tc>
      </w:tr>
      <w:tr w:rsidR="00D34574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574" w:rsidRDefault="00D34574">
            <w:pPr>
              <w:pStyle w:val="ConsPlusNormal"/>
              <w:jc w:val="both"/>
            </w:pPr>
            <w:r>
              <w:t>М.П.</w:t>
            </w:r>
          </w:p>
        </w:tc>
      </w:tr>
    </w:tbl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jc w:val="both"/>
      </w:pPr>
    </w:p>
    <w:p w:rsidR="00D34574" w:rsidRDefault="00D34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DA4" w:rsidRDefault="008B1DA4"/>
    <w:sectPr w:rsidR="008B1DA4" w:rsidSect="0082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574"/>
    <w:rsid w:val="008B1DA4"/>
    <w:rsid w:val="00D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45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4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45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4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45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45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45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54860&amp;dst=100005" TargetMode="External"/><Relationship Id="rId18" Type="http://schemas.openxmlformats.org/officeDocument/2006/relationships/hyperlink" Target="https://login.consultant.ru/link/?req=doc&amp;base=LAW&amp;n=465799" TargetMode="External"/><Relationship Id="rId26" Type="http://schemas.openxmlformats.org/officeDocument/2006/relationships/hyperlink" Target="https://login.consultant.ru/link/?req=doc&amp;base=RLAW256&amp;n=96571&amp;dst=100007" TargetMode="External"/><Relationship Id="rId39" Type="http://schemas.openxmlformats.org/officeDocument/2006/relationships/hyperlink" Target="https://login.consultant.ru/link/?req=doc&amp;base=LAW&amp;n=465799" TargetMode="External"/><Relationship Id="rId21" Type="http://schemas.openxmlformats.org/officeDocument/2006/relationships/hyperlink" Target="https://login.consultant.ru/link/?req=doc&amp;base=RLAW256&amp;n=86512&amp;dst=100007" TargetMode="External"/><Relationship Id="rId34" Type="http://schemas.openxmlformats.org/officeDocument/2006/relationships/hyperlink" Target="https://login.consultant.ru/link/?req=doc&amp;base=RLAW256&amp;n=96571&amp;dst=100008" TargetMode="External"/><Relationship Id="rId42" Type="http://schemas.openxmlformats.org/officeDocument/2006/relationships/hyperlink" Target="https://login.consultant.ru/link/?req=doc&amp;base=LAW&amp;n=465808" TargetMode="External"/><Relationship Id="rId47" Type="http://schemas.openxmlformats.org/officeDocument/2006/relationships/hyperlink" Target="https://login.consultant.ru/link/?req=doc&amp;base=RLAW256&amp;n=171171&amp;dst=100010" TargetMode="External"/><Relationship Id="rId50" Type="http://schemas.openxmlformats.org/officeDocument/2006/relationships/hyperlink" Target="https://login.consultant.ru/link/?req=doc&amp;base=RLAW256&amp;n=171171&amp;dst=100016" TargetMode="External"/><Relationship Id="rId55" Type="http://schemas.openxmlformats.org/officeDocument/2006/relationships/hyperlink" Target="https://login.consultant.ru/link/?req=doc&amp;base=RLAW256&amp;n=163396&amp;dst=100023" TargetMode="External"/><Relationship Id="rId63" Type="http://schemas.openxmlformats.org/officeDocument/2006/relationships/hyperlink" Target="https://login.consultant.ru/link/?req=doc&amp;base=LAW&amp;n=465808&amp;dst=3722" TargetMode="External"/><Relationship Id="rId68" Type="http://schemas.openxmlformats.org/officeDocument/2006/relationships/hyperlink" Target="https://login.consultant.ru/link/?req=doc&amp;base=LAW&amp;n=465808&amp;dst=3722" TargetMode="External"/><Relationship Id="rId7" Type="http://schemas.openxmlformats.org/officeDocument/2006/relationships/hyperlink" Target="https://login.consultant.ru/link/?req=doc&amp;base=RLAW256&amp;n=66303&amp;dst=100005" TargetMode="External"/><Relationship Id="rId71" Type="http://schemas.openxmlformats.org/officeDocument/2006/relationships/hyperlink" Target="https://login.consultant.ru/link/?req=doc&amp;base=RLAW256&amp;n=171171&amp;dst=100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808&amp;dst=3148" TargetMode="External"/><Relationship Id="rId29" Type="http://schemas.openxmlformats.org/officeDocument/2006/relationships/hyperlink" Target="https://login.consultant.ru/link/?req=doc&amp;base=RLAW256&amp;n=29415" TargetMode="External"/><Relationship Id="rId11" Type="http://schemas.openxmlformats.org/officeDocument/2006/relationships/hyperlink" Target="https://login.consultant.ru/link/?req=doc&amp;base=RLAW256&amp;n=103524&amp;dst=100005" TargetMode="External"/><Relationship Id="rId24" Type="http://schemas.openxmlformats.org/officeDocument/2006/relationships/hyperlink" Target="https://login.consultant.ru/link/?req=doc&amp;base=RLAW256&amp;n=154860&amp;dst=100009" TargetMode="External"/><Relationship Id="rId32" Type="http://schemas.openxmlformats.org/officeDocument/2006/relationships/hyperlink" Target="https://login.consultant.ru/link/?req=doc&amp;base=RLAW256&amp;n=47412" TargetMode="External"/><Relationship Id="rId37" Type="http://schemas.openxmlformats.org/officeDocument/2006/relationships/hyperlink" Target="https://login.consultant.ru/link/?req=doc&amp;base=RLAW256&amp;n=171171&amp;dst=100005" TargetMode="External"/><Relationship Id="rId40" Type="http://schemas.openxmlformats.org/officeDocument/2006/relationships/hyperlink" Target="https://login.consultant.ru/link/?req=doc&amp;base=LAW&amp;n=435381" TargetMode="External"/><Relationship Id="rId45" Type="http://schemas.openxmlformats.org/officeDocument/2006/relationships/hyperlink" Target="https://login.consultant.ru/link/?req=doc&amp;base=RLAW256&amp;n=171171&amp;dst=100007" TargetMode="External"/><Relationship Id="rId53" Type="http://schemas.openxmlformats.org/officeDocument/2006/relationships/hyperlink" Target="https://login.consultant.ru/link/?req=doc&amp;base=RLAW256&amp;n=163396&amp;dst=100022" TargetMode="External"/><Relationship Id="rId58" Type="http://schemas.openxmlformats.org/officeDocument/2006/relationships/hyperlink" Target="https://login.consultant.ru/link/?req=doc&amp;base=LAW&amp;n=465808&amp;dst=103524" TargetMode="External"/><Relationship Id="rId66" Type="http://schemas.openxmlformats.org/officeDocument/2006/relationships/hyperlink" Target="https://login.consultant.ru/link/?req=doc&amp;base=RLAW256&amp;n=163396&amp;dst=100032" TargetMode="External"/><Relationship Id="rId5" Type="http://schemas.openxmlformats.org/officeDocument/2006/relationships/hyperlink" Target="https://login.consultant.ru/link/?req=doc&amp;base=RLAW256&amp;n=51875&amp;dst=100005" TargetMode="External"/><Relationship Id="rId15" Type="http://schemas.openxmlformats.org/officeDocument/2006/relationships/hyperlink" Target="https://login.consultant.ru/link/?req=doc&amp;base=RLAW256&amp;n=171171&amp;dst=100005" TargetMode="External"/><Relationship Id="rId23" Type="http://schemas.openxmlformats.org/officeDocument/2006/relationships/hyperlink" Target="https://login.consultant.ru/link/?req=doc&amp;base=RLAW256&amp;n=86512&amp;dst=100009" TargetMode="External"/><Relationship Id="rId28" Type="http://schemas.openxmlformats.org/officeDocument/2006/relationships/hyperlink" Target="https://login.consultant.ru/link/?req=doc&amp;base=RLAW256&amp;n=28495" TargetMode="External"/><Relationship Id="rId36" Type="http://schemas.openxmlformats.org/officeDocument/2006/relationships/hyperlink" Target="https://login.consultant.ru/link/?req=doc&amp;base=RLAW256&amp;n=163396&amp;dst=100005" TargetMode="External"/><Relationship Id="rId49" Type="http://schemas.openxmlformats.org/officeDocument/2006/relationships/hyperlink" Target="https://login.consultant.ru/link/?req=doc&amp;base=RLAW256&amp;n=171171&amp;dst=100015" TargetMode="External"/><Relationship Id="rId57" Type="http://schemas.openxmlformats.org/officeDocument/2006/relationships/hyperlink" Target="https://login.consultant.ru/link/?req=doc&amp;base=RLAW256&amp;n=163396&amp;dst=100025" TargetMode="External"/><Relationship Id="rId61" Type="http://schemas.openxmlformats.org/officeDocument/2006/relationships/hyperlink" Target="https://login.consultant.ru/link/?req=doc&amp;base=LAW&amp;n=465808&amp;dst=103432" TargetMode="External"/><Relationship Id="rId10" Type="http://schemas.openxmlformats.org/officeDocument/2006/relationships/hyperlink" Target="https://login.consultant.ru/link/?req=doc&amp;base=RLAW256&amp;n=96571&amp;dst=100005" TargetMode="External"/><Relationship Id="rId19" Type="http://schemas.openxmlformats.org/officeDocument/2006/relationships/hyperlink" Target="https://login.consultant.ru/link/?req=doc&amp;base=RLAW256&amp;n=178862&amp;dst=100024" TargetMode="External"/><Relationship Id="rId31" Type="http://schemas.openxmlformats.org/officeDocument/2006/relationships/hyperlink" Target="https://login.consultant.ru/link/?req=doc&amp;base=RLAW256&amp;n=42819" TargetMode="External"/><Relationship Id="rId44" Type="http://schemas.openxmlformats.org/officeDocument/2006/relationships/hyperlink" Target="https://login.consultant.ru/link/?req=doc&amp;base=RLAW256&amp;n=163396&amp;dst=100008" TargetMode="External"/><Relationship Id="rId52" Type="http://schemas.openxmlformats.org/officeDocument/2006/relationships/hyperlink" Target="https://login.consultant.ru/link/?req=doc&amp;base=RLAW256&amp;n=163396&amp;dst=100011" TargetMode="External"/><Relationship Id="rId60" Type="http://schemas.openxmlformats.org/officeDocument/2006/relationships/hyperlink" Target="https://login.consultant.ru/link/?req=doc&amp;base=LAW&amp;n=465808&amp;dst=103575" TargetMode="External"/><Relationship Id="rId65" Type="http://schemas.openxmlformats.org/officeDocument/2006/relationships/hyperlink" Target="https://login.consultant.ru/link/?req=doc&amp;base=RLAW256&amp;n=163396&amp;dst=100027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86512&amp;dst=100005" TargetMode="External"/><Relationship Id="rId14" Type="http://schemas.openxmlformats.org/officeDocument/2006/relationships/hyperlink" Target="https://login.consultant.ru/link/?req=doc&amp;base=RLAW256&amp;n=163396&amp;dst=100005" TargetMode="External"/><Relationship Id="rId22" Type="http://schemas.openxmlformats.org/officeDocument/2006/relationships/hyperlink" Target="https://login.consultant.ru/link/?req=doc&amp;base=RLAW256&amp;n=154860&amp;dst=100007" TargetMode="External"/><Relationship Id="rId27" Type="http://schemas.openxmlformats.org/officeDocument/2006/relationships/hyperlink" Target="https://login.consultant.ru/link/?req=doc&amp;base=RLAW256&amp;n=154860&amp;dst=100011" TargetMode="External"/><Relationship Id="rId30" Type="http://schemas.openxmlformats.org/officeDocument/2006/relationships/hyperlink" Target="https://login.consultant.ru/link/?req=doc&amp;base=RLAW256&amp;n=36067" TargetMode="External"/><Relationship Id="rId35" Type="http://schemas.openxmlformats.org/officeDocument/2006/relationships/hyperlink" Target="https://login.consultant.ru/link/?req=doc&amp;base=RLAW256&amp;n=154860&amp;dst=100012" TargetMode="External"/><Relationship Id="rId43" Type="http://schemas.openxmlformats.org/officeDocument/2006/relationships/hyperlink" Target="https://login.consultant.ru/link/?req=doc&amp;base=RLAW256&amp;n=163396&amp;dst=100006" TargetMode="External"/><Relationship Id="rId48" Type="http://schemas.openxmlformats.org/officeDocument/2006/relationships/hyperlink" Target="https://login.consultant.ru/link/?req=doc&amp;base=RLAW256&amp;n=171171&amp;dst=100012" TargetMode="External"/><Relationship Id="rId56" Type="http://schemas.openxmlformats.org/officeDocument/2006/relationships/hyperlink" Target="https://login.consultant.ru/link/?req=doc&amp;base=RLAW256&amp;n=163396&amp;dst=100025" TargetMode="External"/><Relationship Id="rId64" Type="http://schemas.openxmlformats.org/officeDocument/2006/relationships/hyperlink" Target="https://login.consultant.ru/link/?req=doc&amp;base=RLAW256&amp;n=163396&amp;dst=100026" TargetMode="External"/><Relationship Id="rId69" Type="http://schemas.openxmlformats.org/officeDocument/2006/relationships/hyperlink" Target="https://login.consultant.ru/link/?req=doc&amp;base=RLAW256&amp;n=163396&amp;dst=100038" TargetMode="External"/><Relationship Id="rId8" Type="http://schemas.openxmlformats.org/officeDocument/2006/relationships/hyperlink" Target="https://login.consultant.ru/link/?req=doc&amp;base=RLAW256&amp;n=78564&amp;dst=100005" TargetMode="External"/><Relationship Id="rId51" Type="http://schemas.openxmlformats.org/officeDocument/2006/relationships/hyperlink" Target="https://login.consultant.ru/link/?req=doc&amp;base=RLAW256&amp;n=163396&amp;dst=100009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56&amp;n=108810&amp;dst=100005" TargetMode="External"/><Relationship Id="rId17" Type="http://schemas.openxmlformats.org/officeDocument/2006/relationships/hyperlink" Target="https://login.consultant.ru/link/?req=doc&amp;base=LAW&amp;n=465808&amp;dst=502" TargetMode="External"/><Relationship Id="rId25" Type="http://schemas.openxmlformats.org/officeDocument/2006/relationships/hyperlink" Target="https://login.consultant.ru/link/?req=doc&amp;base=RLAW256&amp;n=78564&amp;dst=100005" TargetMode="External"/><Relationship Id="rId33" Type="http://schemas.openxmlformats.org/officeDocument/2006/relationships/hyperlink" Target="https://login.consultant.ru/link/?req=doc&amp;base=RLAW256&amp;n=49317" TargetMode="External"/><Relationship Id="rId38" Type="http://schemas.openxmlformats.org/officeDocument/2006/relationships/hyperlink" Target="https://login.consultant.ru/link/?req=doc&amp;base=LAW&amp;n=465808&amp;dst=103575" TargetMode="External"/><Relationship Id="rId46" Type="http://schemas.openxmlformats.org/officeDocument/2006/relationships/hyperlink" Target="https://login.consultant.ru/link/?req=doc&amp;base=RLAW256&amp;n=171171&amp;dst=100008" TargetMode="External"/><Relationship Id="rId59" Type="http://schemas.openxmlformats.org/officeDocument/2006/relationships/hyperlink" Target="https://login.consultant.ru/link/?req=doc&amp;base=LAW&amp;n=465808&amp;dst=103405" TargetMode="External"/><Relationship Id="rId67" Type="http://schemas.openxmlformats.org/officeDocument/2006/relationships/hyperlink" Target="https://login.consultant.ru/link/?req=doc&amp;base=LAW&amp;n=465808&amp;dst=3704" TargetMode="External"/><Relationship Id="rId20" Type="http://schemas.openxmlformats.org/officeDocument/2006/relationships/hyperlink" Target="https://login.consultant.ru/link/?req=doc&amp;base=RLAW256&amp;n=96571&amp;dst=100006" TargetMode="External"/><Relationship Id="rId41" Type="http://schemas.openxmlformats.org/officeDocument/2006/relationships/hyperlink" Target="https://login.consultant.ru/link/?req=doc&amp;base=RLAW256&amp;n=177919&amp;dst=103001" TargetMode="External"/><Relationship Id="rId54" Type="http://schemas.openxmlformats.org/officeDocument/2006/relationships/hyperlink" Target="https://login.consultant.ru/link/?req=doc&amp;base=RLAW256&amp;n=163396&amp;dst=100022" TargetMode="External"/><Relationship Id="rId62" Type="http://schemas.openxmlformats.org/officeDocument/2006/relationships/hyperlink" Target="https://login.consultant.ru/link/?req=doc&amp;base=LAW&amp;n=465808&amp;dst=3704" TargetMode="External"/><Relationship Id="rId70" Type="http://schemas.openxmlformats.org/officeDocument/2006/relationships/hyperlink" Target="https://login.consultant.ru/link/?req=doc&amp;base=RLAW256&amp;n=163396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5433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8227</Words>
  <Characters>46896</Characters>
  <Application>Microsoft Office Word</Application>
  <DocSecurity>0</DocSecurity>
  <Lines>390</Lines>
  <Paragraphs>110</Paragraphs>
  <ScaleCrop>false</ScaleCrop>
  <Company/>
  <LinksUpToDate>false</LinksUpToDate>
  <CharactersWithSpaces>55013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shepel.oa</dc:creator>
  <cp:lastModifiedBy>shepel.oa</cp:lastModifiedBy>
  <cp:revision>1</cp:revision>
  <dcterms:created xsi:type="dcterms:W3CDTF">2024-01-29T05:15:00Z</dcterms:created>
  <dcterms:modified xsi:type="dcterms:W3CDTF">2024-01-29T05:16:00Z</dcterms:modified>
</cp:coreProperties>
</file>