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5F" w:rsidRPr="004434AA" w:rsidRDefault="0024525F" w:rsidP="003245E7">
      <w:pPr>
        <w:spacing w:after="0"/>
        <w:jc w:val="center"/>
        <w:rPr>
          <w:rFonts w:ascii="Times New Roman" w:hAnsi="Times New Roman"/>
          <w:b/>
          <w:sz w:val="24"/>
          <w:szCs w:val="24"/>
        </w:rPr>
      </w:pPr>
      <w:r w:rsidRPr="004434AA">
        <w:rPr>
          <w:rFonts w:ascii="Times New Roman" w:hAnsi="Times New Roman"/>
          <w:b/>
          <w:sz w:val="24"/>
          <w:szCs w:val="24"/>
        </w:rPr>
        <w:t>Пояснительная записка</w:t>
      </w:r>
      <w:r w:rsidRPr="004434AA">
        <w:rPr>
          <w:rFonts w:ascii="Times New Roman" w:hAnsi="Times New Roman"/>
          <w:b/>
          <w:sz w:val="24"/>
          <w:szCs w:val="24"/>
        </w:rPr>
        <w:br/>
        <w:t>к прогнозу социально – экономического развития городского округ Тольятти на 20</w:t>
      </w:r>
      <w:r w:rsidR="004434AA" w:rsidRPr="004434AA">
        <w:rPr>
          <w:rFonts w:ascii="Times New Roman" w:hAnsi="Times New Roman"/>
          <w:b/>
          <w:sz w:val="24"/>
          <w:szCs w:val="24"/>
        </w:rPr>
        <w:t>20</w:t>
      </w:r>
      <w:r w:rsidRPr="004434AA">
        <w:rPr>
          <w:rFonts w:ascii="Times New Roman" w:hAnsi="Times New Roman"/>
          <w:b/>
          <w:sz w:val="24"/>
          <w:szCs w:val="24"/>
        </w:rPr>
        <w:t xml:space="preserve"> год и плановый период 20</w:t>
      </w:r>
      <w:r w:rsidR="009F367D" w:rsidRPr="004434AA">
        <w:rPr>
          <w:rFonts w:ascii="Times New Roman" w:hAnsi="Times New Roman"/>
          <w:b/>
          <w:sz w:val="24"/>
          <w:szCs w:val="24"/>
        </w:rPr>
        <w:t>2</w:t>
      </w:r>
      <w:r w:rsidR="004434AA" w:rsidRPr="004434AA">
        <w:rPr>
          <w:rFonts w:ascii="Times New Roman" w:hAnsi="Times New Roman"/>
          <w:b/>
          <w:sz w:val="24"/>
          <w:szCs w:val="24"/>
        </w:rPr>
        <w:t>1</w:t>
      </w:r>
      <w:r w:rsidR="009F367D" w:rsidRPr="004434AA">
        <w:rPr>
          <w:rFonts w:ascii="Times New Roman" w:hAnsi="Times New Roman"/>
          <w:b/>
          <w:sz w:val="24"/>
          <w:szCs w:val="24"/>
        </w:rPr>
        <w:t xml:space="preserve"> и</w:t>
      </w:r>
      <w:r w:rsidRPr="004434AA">
        <w:rPr>
          <w:rFonts w:ascii="Times New Roman" w:hAnsi="Times New Roman"/>
          <w:b/>
          <w:sz w:val="24"/>
          <w:szCs w:val="24"/>
        </w:rPr>
        <w:t xml:space="preserve"> 20</w:t>
      </w:r>
      <w:r w:rsidR="00E22255" w:rsidRPr="004434AA">
        <w:rPr>
          <w:rFonts w:ascii="Times New Roman" w:hAnsi="Times New Roman"/>
          <w:b/>
          <w:sz w:val="24"/>
          <w:szCs w:val="24"/>
        </w:rPr>
        <w:t>2</w:t>
      </w:r>
      <w:r w:rsidR="004434AA" w:rsidRPr="004434AA">
        <w:rPr>
          <w:rFonts w:ascii="Times New Roman" w:hAnsi="Times New Roman"/>
          <w:b/>
          <w:sz w:val="24"/>
          <w:szCs w:val="24"/>
        </w:rPr>
        <w:t>2</w:t>
      </w:r>
      <w:r w:rsidR="00E22255" w:rsidRPr="004434AA">
        <w:rPr>
          <w:rFonts w:ascii="Times New Roman" w:hAnsi="Times New Roman"/>
          <w:b/>
          <w:sz w:val="24"/>
          <w:szCs w:val="24"/>
        </w:rPr>
        <w:t xml:space="preserve"> </w:t>
      </w:r>
      <w:r w:rsidRPr="004434AA">
        <w:rPr>
          <w:rFonts w:ascii="Times New Roman" w:hAnsi="Times New Roman"/>
          <w:b/>
          <w:sz w:val="24"/>
          <w:szCs w:val="24"/>
        </w:rPr>
        <w:t>годов</w:t>
      </w:r>
    </w:p>
    <w:p w:rsidR="0024525F" w:rsidRPr="0096463D" w:rsidRDefault="0024525F" w:rsidP="004272BD">
      <w:pPr>
        <w:spacing w:after="0"/>
        <w:ind w:firstLine="709"/>
        <w:jc w:val="both"/>
        <w:rPr>
          <w:rFonts w:ascii="Times New Roman" w:hAnsi="Times New Roman"/>
          <w:sz w:val="24"/>
          <w:szCs w:val="24"/>
          <w:highlight w:val="yellow"/>
        </w:rPr>
      </w:pPr>
    </w:p>
    <w:p w:rsidR="00C317CD" w:rsidRPr="00EB2EFA" w:rsidRDefault="005A052E" w:rsidP="005615F0">
      <w:pPr>
        <w:spacing w:after="0"/>
        <w:ind w:firstLine="709"/>
        <w:jc w:val="both"/>
        <w:rPr>
          <w:rFonts w:ascii="Times New Roman" w:hAnsi="Times New Roman"/>
          <w:sz w:val="24"/>
          <w:szCs w:val="24"/>
        </w:rPr>
      </w:pPr>
      <w:r w:rsidRPr="00EB2EFA">
        <w:rPr>
          <w:rFonts w:ascii="Times New Roman" w:hAnsi="Times New Roman"/>
          <w:sz w:val="24"/>
          <w:szCs w:val="24"/>
        </w:rPr>
        <w:t>Прогноз социально-экономического развития городского округа Тольятти на 20</w:t>
      </w:r>
      <w:r w:rsidR="004434AA" w:rsidRPr="00EB2EFA">
        <w:rPr>
          <w:rFonts w:ascii="Times New Roman" w:hAnsi="Times New Roman"/>
          <w:sz w:val="24"/>
          <w:szCs w:val="24"/>
        </w:rPr>
        <w:t>20</w:t>
      </w:r>
      <w:r w:rsidRPr="00EB2EFA">
        <w:rPr>
          <w:rFonts w:ascii="Times New Roman" w:hAnsi="Times New Roman"/>
          <w:sz w:val="24"/>
          <w:szCs w:val="24"/>
        </w:rPr>
        <w:t xml:space="preserve"> год и плановый период 20</w:t>
      </w:r>
      <w:r w:rsidR="004434AA" w:rsidRPr="00EB2EFA">
        <w:rPr>
          <w:rFonts w:ascii="Times New Roman" w:hAnsi="Times New Roman"/>
          <w:sz w:val="24"/>
          <w:szCs w:val="24"/>
        </w:rPr>
        <w:t>21</w:t>
      </w:r>
      <w:r w:rsidR="009F367D" w:rsidRPr="00EB2EFA">
        <w:rPr>
          <w:rFonts w:ascii="Times New Roman" w:hAnsi="Times New Roman"/>
          <w:sz w:val="24"/>
          <w:szCs w:val="24"/>
        </w:rPr>
        <w:t xml:space="preserve"> и </w:t>
      </w:r>
      <w:r w:rsidRPr="00EB2EFA">
        <w:rPr>
          <w:rFonts w:ascii="Times New Roman" w:hAnsi="Times New Roman"/>
          <w:sz w:val="24"/>
          <w:szCs w:val="24"/>
        </w:rPr>
        <w:t>202</w:t>
      </w:r>
      <w:r w:rsidR="004434AA" w:rsidRPr="00EB2EFA">
        <w:rPr>
          <w:rFonts w:ascii="Times New Roman" w:hAnsi="Times New Roman"/>
          <w:sz w:val="24"/>
          <w:szCs w:val="24"/>
        </w:rPr>
        <w:t>2</w:t>
      </w:r>
      <w:r w:rsidRPr="00EB2EFA">
        <w:rPr>
          <w:rFonts w:ascii="Times New Roman" w:hAnsi="Times New Roman"/>
          <w:sz w:val="24"/>
          <w:szCs w:val="24"/>
        </w:rPr>
        <w:t xml:space="preserve"> годов (далее - Прогноз) </w:t>
      </w:r>
      <w:r w:rsidR="00E11BE7" w:rsidRPr="00EB2EFA">
        <w:rPr>
          <w:rFonts w:ascii="Times New Roman" w:hAnsi="Times New Roman"/>
          <w:sz w:val="24"/>
          <w:szCs w:val="24"/>
        </w:rPr>
        <w:t>разработан в соответствии с действующим Порядком о Прогнозе на основе</w:t>
      </w:r>
      <w:r w:rsidRPr="00EB2EFA">
        <w:rPr>
          <w:rFonts w:ascii="Times New Roman" w:hAnsi="Times New Roman"/>
          <w:sz w:val="24"/>
          <w:szCs w:val="24"/>
        </w:rPr>
        <w:t xml:space="preserve"> </w:t>
      </w:r>
      <w:r w:rsidR="0085402B" w:rsidRPr="00EB2EFA">
        <w:rPr>
          <w:rFonts w:ascii="Times New Roman" w:hAnsi="Times New Roman"/>
          <w:sz w:val="24"/>
          <w:szCs w:val="24"/>
        </w:rPr>
        <w:t>С</w:t>
      </w:r>
      <w:r w:rsidRPr="00EB2EFA">
        <w:rPr>
          <w:rFonts w:ascii="Times New Roman" w:hAnsi="Times New Roman"/>
          <w:sz w:val="24"/>
          <w:szCs w:val="24"/>
        </w:rPr>
        <w:t xml:space="preserve">ценарных условий </w:t>
      </w:r>
      <w:r w:rsidR="00DC5297" w:rsidRPr="00EB2EFA">
        <w:rPr>
          <w:rFonts w:ascii="Times New Roman" w:hAnsi="Times New Roman"/>
          <w:sz w:val="24"/>
          <w:szCs w:val="24"/>
        </w:rPr>
        <w:t>социально-экономического развития</w:t>
      </w:r>
      <w:r w:rsidRPr="00EB2EFA">
        <w:rPr>
          <w:rFonts w:ascii="Times New Roman" w:hAnsi="Times New Roman"/>
          <w:sz w:val="24"/>
          <w:szCs w:val="24"/>
        </w:rPr>
        <w:t xml:space="preserve"> Самарской области</w:t>
      </w:r>
      <w:r w:rsidR="00DC5297" w:rsidRPr="00EB2EFA">
        <w:rPr>
          <w:rFonts w:ascii="Times New Roman" w:hAnsi="Times New Roman"/>
          <w:sz w:val="24"/>
          <w:szCs w:val="24"/>
        </w:rPr>
        <w:t xml:space="preserve"> на 20</w:t>
      </w:r>
      <w:r w:rsidR="00EB2EFA" w:rsidRPr="00EB2EFA">
        <w:rPr>
          <w:rFonts w:ascii="Times New Roman" w:hAnsi="Times New Roman"/>
          <w:sz w:val="24"/>
          <w:szCs w:val="24"/>
        </w:rPr>
        <w:t>20</w:t>
      </w:r>
      <w:r w:rsidR="00DC5297" w:rsidRPr="00EB2EFA">
        <w:rPr>
          <w:rFonts w:ascii="Times New Roman" w:hAnsi="Times New Roman"/>
          <w:sz w:val="24"/>
          <w:szCs w:val="24"/>
        </w:rPr>
        <w:t xml:space="preserve"> год и плановый период 202</w:t>
      </w:r>
      <w:r w:rsidR="00EB2EFA" w:rsidRPr="00EB2EFA">
        <w:rPr>
          <w:rFonts w:ascii="Times New Roman" w:hAnsi="Times New Roman"/>
          <w:sz w:val="24"/>
          <w:szCs w:val="24"/>
        </w:rPr>
        <w:t>1</w:t>
      </w:r>
      <w:r w:rsidR="00DC5297" w:rsidRPr="00EB2EFA">
        <w:rPr>
          <w:rFonts w:ascii="Times New Roman" w:hAnsi="Times New Roman"/>
          <w:sz w:val="24"/>
          <w:szCs w:val="24"/>
        </w:rPr>
        <w:t xml:space="preserve"> и 202</w:t>
      </w:r>
      <w:r w:rsidR="00EB2EFA" w:rsidRPr="00EB2EFA">
        <w:rPr>
          <w:rFonts w:ascii="Times New Roman" w:hAnsi="Times New Roman"/>
          <w:sz w:val="24"/>
          <w:szCs w:val="24"/>
        </w:rPr>
        <w:t>2</w:t>
      </w:r>
      <w:r w:rsidR="00DC5297" w:rsidRPr="00EB2EFA">
        <w:rPr>
          <w:rFonts w:ascii="Times New Roman" w:hAnsi="Times New Roman"/>
          <w:sz w:val="24"/>
          <w:szCs w:val="24"/>
        </w:rPr>
        <w:t xml:space="preserve"> годов</w:t>
      </w:r>
      <w:r w:rsidR="0085402B" w:rsidRPr="00EB2EFA">
        <w:rPr>
          <w:rFonts w:ascii="Times New Roman" w:hAnsi="Times New Roman"/>
          <w:sz w:val="24"/>
          <w:szCs w:val="24"/>
        </w:rPr>
        <w:t>,</w:t>
      </w:r>
      <w:r w:rsidR="00C317CD" w:rsidRPr="00EB2EFA">
        <w:rPr>
          <w:rFonts w:ascii="Times New Roman" w:hAnsi="Times New Roman"/>
          <w:sz w:val="24"/>
          <w:szCs w:val="24"/>
        </w:rPr>
        <w:t xml:space="preserve"> </w:t>
      </w:r>
      <w:r w:rsidR="004A3EE1" w:rsidRPr="00EB2EFA">
        <w:rPr>
          <w:rFonts w:ascii="Times New Roman" w:hAnsi="Times New Roman"/>
          <w:sz w:val="24"/>
          <w:szCs w:val="24"/>
        </w:rPr>
        <w:t>разработанных</w:t>
      </w:r>
      <w:r w:rsidR="00E62254" w:rsidRPr="00EB2EFA">
        <w:rPr>
          <w:rFonts w:ascii="Times New Roman" w:hAnsi="Times New Roman"/>
          <w:sz w:val="24"/>
          <w:szCs w:val="24"/>
        </w:rPr>
        <w:t xml:space="preserve"> Министерством экономического развития и инвестиций Самарской области</w:t>
      </w:r>
      <w:r w:rsidR="0053652E">
        <w:rPr>
          <w:rFonts w:ascii="Times New Roman" w:hAnsi="Times New Roman"/>
          <w:sz w:val="24"/>
          <w:szCs w:val="24"/>
        </w:rPr>
        <w:t xml:space="preserve"> </w:t>
      </w:r>
      <w:r w:rsidR="0053652E" w:rsidRPr="00EB2EFA">
        <w:rPr>
          <w:rFonts w:ascii="Times New Roman" w:hAnsi="Times New Roman"/>
          <w:sz w:val="24"/>
          <w:szCs w:val="24"/>
        </w:rPr>
        <w:t>(далее – Сценарные условия</w:t>
      </w:r>
      <w:r w:rsidR="0053652E">
        <w:rPr>
          <w:rFonts w:ascii="Times New Roman" w:hAnsi="Times New Roman"/>
          <w:sz w:val="24"/>
          <w:szCs w:val="24"/>
        </w:rPr>
        <w:t xml:space="preserve"> Самарской области</w:t>
      </w:r>
      <w:r w:rsidR="0053652E" w:rsidRPr="00EB2EFA">
        <w:rPr>
          <w:rFonts w:ascii="Times New Roman" w:hAnsi="Times New Roman"/>
          <w:sz w:val="24"/>
          <w:szCs w:val="24"/>
        </w:rPr>
        <w:t>)</w:t>
      </w:r>
      <w:r w:rsidR="00E62254" w:rsidRPr="00EB2EFA">
        <w:rPr>
          <w:rFonts w:ascii="Times New Roman" w:hAnsi="Times New Roman"/>
          <w:sz w:val="24"/>
          <w:szCs w:val="24"/>
        </w:rPr>
        <w:t xml:space="preserve">, </w:t>
      </w:r>
      <w:r w:rsidR="00C317CD" w:rsidRPr="00EB2EFA">
        <w:rPr>
          <w:rFonts w:ascii="Times New Roman" w:hAnsi="Times New Roman"/>
          <w:sz w:val="24"/>
          <w:szCs w:val="24"/>
        </w:rPr>
        <w:t>с учетом Предварительных итогов социально – экономического развития городского округа Тольятти за 1 полугодие 201</w:t>
      </w:r>
      <w:r w:rsidR="00EB2EFA">
        <w:rPr>
          <w:rFonts w:ascii="Times New Roman" w:hAnsi="Times New Roman"/>
          <w:sz w:val="24"/>
          <w:szCs w:val="24"/>
        </w:rPr>
        <w:t>9</w:t>
      </w:r>
      <w:r w:rsidR="00C317CD" w:rsidRPr="00EB2EFA">
        <w:rPr>
          <w:rFonts w:ascii="Times New Roman" w:hAnsi="Times New Roman"/>
          <w:sz w:val="24"/>
          <w:szCs w:val="24"/>
        </w:rPr>
        <w:t xml:space="preserve"> года и ожидаемых итогов социально – экономического развития городского округа Тольятти за 201</w:t>
      </w:r>
      <w:r w:rsidR="00EB2EFA">
        <w:rPr>
          <w:rFonts w:ascii="Times New Roman" w:hAnsi="Times New Roman"/>
          <w:sz w:val="24"/>
          <w:szCs w:val="24"/>
        </w:rPr>
        <w:t>9</w:t>
      </w:r>
      <w:r w:rsidR="00C317CD" w:rsidRPr="00EB2EFA">
        <w:rPr>
          <w:rFonts w:ascii="Times New Roman" w:hAnsi="Times New Roman"/>
          <w:sz w:val="24"/>
          <w:szCs w:val="24"/>
        </w:rPr>
        <w:t xml:space="preserve"> год.</w:t>
      </w:r>
    </w:p>
    <w:p w:rsidR="002C5D86" w:rsidRPr="00EB2EFA" w:rsidRDefault="005A052E" w:rsidP="005615F0">
      <w:pPr>
        <w:spacing w:after="0"/>
        <w:ind w:firstLine="709"/>
        <w:jc w:val="both"/>
        <w:rPr>
          <w:rFonts w:ascii="Times New Roman" w:hAnsi="Times New Roman"/>
          <w:sz w:val="24"/>
          <w:szCs w:val="24"/>
        </w:rPr>
      </w:pPr>
      <w:r w:rsidRPr="00EB2EFA">
        <w:rPr>
          <w:rFonts w:ascii="Times New Roman" w:hAnsi="Times New Roman"/>
          <w:sz w:val="24"/>
          <w:szCs w:val="24"/>
        </w:rPr>
        <w:t xml:space="preserve">Прогноз </w:t>
      </w:r>
      <w:r w:rsidR="002C5D86" w:rsidRPr="00EB2EFA">
        <w:rPr>
          <w:rFonts w:ascii="Times New Roman" w:hAnsi="Times New Roman"/>
          <w:sz w:val="24"/>
          <w:szCs w:val="24"/>
        </w:rPr>
        <w:t xml:space="preserve">разработан </w:t>
      </w:r>
      <w:r w:rsidR="009C4424" w:rsidRPr="00EB2EFA">
        <w:rPr>
          <w:rFonts w:ascii="Times New Roman" w:hAnsi="Times New Roman"/>
          <w:sz w:val="24"/>
          <w:szCs w:val="24"/>
        </w:rPr>
        <w:t>исходя из стратегических задач, сформулированных в</w:t>
      </w:r>
      <w:r w:rsidR="002C5D86" w:rsidRPr="00EB2EFA">
        <w:rPr>
          <w:rFonts w:ascii="Times New Roman" w:hAnsi="Times New Roman"/>
          <w:sz w:val="24"/>
          <w:szCs w:val="24"/>
        </w:rPr>
        <w:t xml:space="preserve"> </w:t>
      </w:r>
      <w:r w:rsidR="009C4424" w:rsidRPr="00EB2EFA">
        <w:rPr>
          <w:rFonts w:ascii="Times New Roman" w:hAnsi="Times New Roman"/>
          <w:sz w:val="24"/>
          <w:szCs w:val="24"/>
        </w:rPr>
        <w:t>Указе</w:t>
      </w:r>
      <w:r w:rsidR="004D4728" w:rsidRPr="00EB2EFA">
        <w:rPr>
          <w:rFonts w:ascii="Times New Roman" w:hAnsi="Times New Roman"/>
          <w:sz w:val="24"/>
          <w:szCs w:val="24"/>
        </w:rPr>
        <w:t xml:space="preserve"> Президента Российской Федерации от 7 мая 2018 года «</w:t>
      </w:r>
      <w:r w:rsidR="004D4728" w:rsidRPr="00EB2EFA">
        <w:rPr>
          <w:rFonts w:ascii="Times New Roman" w:hAnsi="Times New Roman"/>
          <w:bCs/>
          <w:spacing w:val="2"/>
          <w:sz w:val="24"/>
          <w:szCs w:val="24"/>
        </w:rPr>
        <w:t>О национальных целях и стратегических задачах развития Российской Федерации на период до 2024 года»,</w:t>
      </w:r>
      <w:r w:rsidR="004D4728" w:rsidRPr="00EB2EFA">
        <w:rPr>
          <w:rFonts w:ascii="Times New Roman" w:hAnsi="Times New Roman"/>
          <w:sz w:val="24"/>
          <w:szCs w:val="24"/>
        </w:rPr>
        <w:t xml:space="preserve"> </w:t>
      </w:r>
      <w:r w:rsidR="002C5D86" w:rsidRPr="00EB2EFA">
        <w:rPr>
          <w:rFonts w:ascii="Times New Roman" w:hAnsi="Times New Roman"/>
          <w:sz w:val="24"/>
          <w:szCs w:val="24"/>
        </w:rPr>
        <w:t xml:space="preserve"> Послани</w:t>
      </w:r>
      <w:r w:rsidR="00A95E97">
        <w:rPr>
          <w:rFonts w:ascii="Times New Roman" w:hAnsi="Times New Roman"/>
          <w:sz w:val="24"/>
          <w:szCs w:val="24"/>
        </w:rPr>
        <w:t>я</w:t>
      </w:r>
      <w:r w:rsidR="002C5D86" w:rsidRPr="00EB2EFA">
        <w:rPr>
          <w:rFonts w:ascii="Times New Roman" w:hAnsi="Times New Roman"/>
          <w:sz w:val="24"/>
          <w:szCs w:val="24"/>
        </w:rPr>
        <w:t xml:space="preserve"> Президента Российской Федерации Федеральному Собранию Российской Федерации </w:t>
      </w:r>
      <w:r w:rsidR="002C5D86" w:rsidRPr="00A95E97">
        <w:rPr>
          <w:rFonts w:ascii="Times New Roman" w:hAnsi="Times New Roman"/>
          <w:sz w:val="24"/>
          <w:szCs w:val="24"/>
        </w:rPr>
        <w:t xml:space="preserve">от </w:t>
      </w:r>
      <w:r w:rsidR="00A95E97" w:rsidRPr="00A95E97">
        <w:rPr>
          <w:rFonts w:ascii="Times New Roman" w:hAnsi="Times New Roman"/>
          <w:sz w:val="24"/>
          <w:szCs w:val="24"/>
        </w:rPr>
        <w:t>20</w:t>
      </w:r>
      <w:r w:rsidR="002C5D86" w:rsidRPr="00A95E97">
        <w:rPr>
          <w:rFonts w:ascii="Times New Roman" w:hAnsi="Times New Roman"/>
          <w:sz w:val="24"/>
          <w:szCs w:val="24"/>
        </w:rPr>
        <w:t xml:space="preserve"> </w:t>
      </w:r>
      <w:r w:rsidR="00A95E97" w:rsidRPr="00A95E97">
        <w:rPr>
          <w:rFonts w:ascii="Times New Roman" w:hAnsi="Times New Roman"/>
          <w:sz w:val="24"/>
          <w:szCs w:val="24"/>
        </w:rPr>
        <w:t>февраля</w:t>
      </w:r>
      <w:r w:rsidR="002C5D86" w:rsidRPr="00A95E97">
        <w:rPr>
          <w:rFonts w:ascii="Times New Roman" w:hAnsi="Times New Roman"/>
          <w:sz w:val="24"/>
          <w:szCs w:val="24"/>
        </w:rPr>
        <w:t xml:space="preserve"> 201</w:t>
      </w:r>
      <w:r w:rsidR="00A95E97" w:rsidRPr="00A95E97">
        <w:rPr>
          <w:rFonts w:ascii="Times New Roman" w:hAnsi="Times New Roman"/>
          <w:sz w:val="24"/>
          <w:szCs w:val="24"/>
        </w:rPr>
        <w:t>9</w:t>
      </w:r>
      <w:r w:rsidR="002C5D86" w:rsidRPr="00A95E97">
        <w:rPr>
          <w:rFonts w:ascii="Times New Roman" w:hAnsi="Times New Roman"/>
          <w:sz w:val="24"/>
          <w:szCs w:val="24"/>
        </w:rPr>
        <w:t xml:space="preserve"> года</w:t>
      </w:r>
      <w:r w:rsidR="002C5D86" w:rsidRPr="00EB2EFA">
        <w:rPr>
          <w:rFonts w:ascii="Times New Roman" w:hAnsi="Times New Roman"/>
          <w:sz w:val="24"/>
          <w:szCs w:val="24"/>
        </w:rPr>
        <w:t xml:space="preserve"> и Послани</w:t>
      </w:r>
      <w:r w:rsidR="00A95E97">
        <w:rPr>
          <w:rFonts w:ascii="Times New Roman" w:hAnsi="Times New Roman"/>
          <w:sz w:val="24"/>
          <w:szCs w:val="24"/>
        </w:rPr>
        <w:t>я</w:t>
      </w:r>
      <w:r w:rsidR="002C5D86" w:rsidRPr="00EB2EFA">
        <w:rPr>
          <w:rFonts w:ascii="Times New Roman" w:hAnsi="Times New Roman"/>
          <w:sz w:val="24"/>
          <w:szCs w:val="24"/>
        </w:rPr>
        <w:t xml:space="preserve"> Губернатора Самарской области </w:t>
      </w:r>
      <w:r w:rsidR="002C5D86" w:rsidRPr="00A95E97">
        <w:rPr>
          <w:rFonts w:ascii="Times New Roman" w:hAnsi="Times New Roman"/>
          <w:sz w:val="24"/>
          <w:szCs w:val="24"/>
        </w:rPr>
        <w:t xml:space="preserve">от </w:t>
      </w:r>
      <w:r w:rsidR="00A95E97" w:rsidRPr="00A95E97">
        <w:rPr>
          <w:rFonts w:ascii="Times New Roman" w:hAnsi="Times New Roman"/>
          <w:sz w:val="24"/>
          <w:szCs w:val="24"/>
        </w:rPr>
        <w:t>27 марта</w:t>
      </w:r>
      <w:r w:rsidR="002C5D86" w:rsidRPr="00A95E97">
        <w:rPr>
          <w:rFonts w:ascii="Times New Roman" w:hAnsi="Times New Roman"/>
          <w:sz w:val="24"/>
          <w:szCs w:val="24"/>
        </w:rPr>
        <w:t xml:space="preserve"> 201</w:t>
      </w:r>
      <w:r w:rsidR="00A95E97" w:rsidRPr="00A95E97">
        <w:rPr>
          <w:rFonts w:ascii="Times New Roman" w:hAnsi="Times New Roman"/>
          <w:sz w:val="24"/>
          <w:szCs w:val="24"/>
        </w:rPr>
        <w:t>9</w:t>
      </w:r>
      <w:r w:rsidR="002C5D86" w:rsidRPr="00A95E97">
        <w:rPr>
          <w:rFonts w:ascii="Times New Roman" w:hAnsi="Times New Roman"/>
          <w:sz w:val="24"/>
          <w:szCs w:val="24"/>
        </w:rPr>
        <w:t xml:space="preserve"> года,</w:t>
      </w:r>
      <w:r w:rsidR="002C5D86" w:rsidRPr="00EB2EFA">
        <w:rPr>
          <w:rFonts w:ascii="Times New Roman" w:hAnsi="Times New Roman"/>
          <w:sz w:val="24"/>
          <w:szCs w:val="24"/>
        </w:rPr>
        <w:t xml:space="preserve"> документов стратегического планирования</w:t>
      </w:r>
      <w:r w:rsidR="00B94058" w:rsidRPr="00EB2EFA">
        <w:rPr>
          <w:rFonts w:ascii="Times New Roman" w:hAnsi="Times New Roman"/>
          <w:sz w:val="24"/>
          <w:szCs w:val="24"/>
        </w:rPr>
        <w:t xml:space="preserve">, утвержденных на федеральном, </w:t>
      </w:r>
      <w:r w:rsidR="002C5D86" w:rsidRPr="00EB2EFA">
        <w:rPr>
          <w:rFonts w:ascii="Times New Roman" w:hAnsi="Times New Roman"/>
          <w:sz w:val="24"/>
          <w:szCs w:val="24"/>
        </w:rPr>
        <w:t xml:space="preserve">региональном </w:t>
      </w:r>
      <w:r w:rsidR="00B94058" w:rsidRPr="00EB2EFA">
        <w:rPr>
          <w:rFonts w:ascii="Times New Roman" w:hAnsi="Times New Roman"/>
          <w:sz w:val="24"/>
          <w:szCs w:val="24"/>
        </w:rPr>
        <w:t xml:space="preserve">и местном </w:t>
      </w:r>
      <w:r w:rsidR="002C5D86" w:rsidRPr="00EB2EFA">
        <w:rPr>
          <w:rFonts w:ascii="Times New Roman" w:hAnsi="Times New Roman"/>
          <w:sz w:val="24"/>
          <w:szCs w:val="24"/>
        </w:rPr>
        <w:t>уровне.</w:t>
      </w:r>
    </w:p>
    <w:p w:rsidR="00160B3D" w:rsidRPr="00EB2EFA" w:rsidRDefault="00160B3D" w:rsidP="005615F0">
      <w:pPr>
        <w:spacing w:after="0"/>
        <w:ind w:firstLine="709"/>
        <w:jc w:val="both"/>
        <w:rPr>
          <w:rFonts w:ascii="Times New Roman" w:hAnsi="Times New Roman"/>
          <w:sz w:val="24"/>
          <w:szCs w:val="24"/>
        </w:rPr>
      </w:pPr>
      <w:r w:rsidRPr="00EB2EFA">
        <w:rPr>
          <w:rFonts w:ascii="Times New Roman" w:hAnsi="Times New Roman"/>
          <w:sz w:val="24"/>
          <w:szCs w:val="24"/>
        </w:rPr>
        <w:t xml:space="preserve">Основные параметры прогноза согласно Сценарным условиям </w:t>
      </w:r>
      <w:r w:rsidR="004A351E">
        <w:rPr>
          <w:rFonts w:ascii="Times New Roman" w:hAnsi="Times New Roman"/>
          <w:sz w:val="24"/>
          <w:szCs w:val="24"/>
        </w:rPr>
        <w:t xml:space="preserve">Самарской области </w:t>
      </w:r>
      <w:r w:rsidRPr="00EB2EFA">
        <w:rPr>
          <w:rFonts w:ascii="Times New Roman" w:hAnsi="Times New Roman"/>
          <w:sz w:val="24"/>
          <w:szCs w:val="24"/>
        </w:rPr>
        <w:t xml:space="preserve">разработаны в </w:t>
      </w:r>
      <w:r w:rsidR="00EB2EFA" w:rsidRPr="00EB2EFA">
        <w:rPr>
          <w:rFonts w:ascii="Times New Roman" w:hAnsi="Times New Roman"/>
          <w:sz w:val="24"/>
          <w:szCs w:val="24"/>
        </w:rPr>
        <w:t xml:space="preserve">двух </w:t>
      </w:r>
      <w:r w:rsidRPr="00EB2EFA">
        <w:rPr>
          <w:rFonts w:ascii="Times New Roman" w:hAnsi="Times New Roman"/>
          <w:sz w:val="24"/>
          <w:szCs w:val="24"/>
        </w:rPr>
        <w:t>вариантах – консервативном</w:t>
      </w:r>
      <w:r w:rsidR="00EB2EFA" w:rsidRPr="00EB2EFA">
        <w:rPr>
          <w:rFonts w:ascii="Times New Roman" w:hAnsi="Times New Roman"/>
          <w:sz w:val="24"/>
          <w:szCs w:val="24"/>
        </w:rPr>
        <w:t xml:space="preserve"> и</w:t>
      </w:r>
      <w:r w:rsidRPr="00EB2EFA">
        <w:rPr>
          <w:rFonts w:ascii="Times New Roman" w:hAnsi="Times New Roman"/>
          <w:sz w:val="24"/>
          <w:szCs w:val="24"/>
        </w:rPr>
        <w:t xml:space="preserve"> базовом.</w:t>
      </w:r>
    </w:p>
    <w:p w:rsidR="007E7241" w:rsidRDefault="007E7241" w:rsidP="005615F0">
      <w:pPr>
        <w:tabs>
          <w:tab w:val="left" w:pos="8208"/>
        </w:tabs>
        <w:spacing w:after="0"/>
        <w:ind w:firstLine="709"/>
        <w:jc w:val="both"/>
        <w:rPr>
          <w:rFonts w:ascii="Times New Roman" w:hAnsi="Times New Roman"/>
          <w:sz w:val="24"/>
          <w:szCs w:val="24"/>
          <w:shd w:val="clear" w:color="auto" w:fill="FFFFFF"/>
          <w:lang w:eastAsia="ar-SA"/>
        </w:rPr>
      </w:pPr>
      <w:r w:rsidRPr="007E7241">
        <w:rPr>
          <w:rFonts w:ascii="Times New Roman" w:hAnsi="Times New Roman"/>
          <w:sz w:val="24"/>
          <w:szCs w:val="24"/>
          <w:shd w:val="clear" w:color="auto" w:fill="FFFFFF"/>
          <w:lang w:eastAsia="ar-SA"/>
        </w:rPr>
        <w:t xml:space="preserve">Оба варианта </w:t>
      </w:r>
      <w:r>
        <w:rPr>
          <w:rFonts w:ascii="Times New Roman" w:hAnsi="Times New Roman"/>
          <w:sz w:val="24"/>
          <w:szCs w:val="24"/>
          <w:shd w:val="clear" w:color="auto" w:fill="FFFFFF"/>
          <w:lang w:eastAsia="ar-SA"/>
        </w:rPr>
        <w:t>Прогноза</w:t>
      </w:r>
      <w:r w:rsidRPr="007E7241">
        <w:rPr>
          <w:rFonts w:ascii="Times New Roman" w:hAnsi="Times New Roman"/>
          <w:sz w:val="24"/>
          <w:szCs w:val="24"/>
          <w:shd w:val="clear" w:color="auto" w:fill="FFFFFF"/>
          <w:lang w:eastAsia="ar-SA"/>
        </w:rPr>
        <w:t xml:space="preserve"> базируются на единых целях и приоритетах государственной социально-экономической политики, но степень их достижения будет различной. </w:t>
      </w:r>
    </w:p>
    <w:p w:rsidR="00CC0737" w:rsidRDefault="007E7241" w:rsidP="005615F0">
      <w:pPr>
        <w:tabs>
          <w:tab w:val="left" w:pos="8208"/>
        </w:tabs>
        <w:spacing w:after="0"/>
        <w:ind w:firstLine="709"/>
        <w:jc w:val="both"/>
        <w:rPr>
          <w:rFonts w:ascii="Times New Roman" w:hAnsi="Times New Roman"/>
          <w:sz w:val="24"/>
          <w:szCs w:val="24"/>
          <w:shd w:val="clear" w:color="auto" w:fill="FFFFFF"/>
          <w:lang w:eastAsia="ar-SA"/>
        </w:rPr>
      </w:pPr>
      <w:r w:rsidRPr="007E7241">
        <w:rPr>
          <w:rFonts w:ascii="Times New Roman" w:hAnsi="Times New Roman"/>
          <w:sz w:val="24"/>
          <w:szCs w:val="24"/>
          <w:shd w:val="clear" w:color="auto" w:fill="FFFFFF"/>
          <w:lang w:eastAsia="ar-SA"/>
        </w:rPr>
        <w:t xml:space="preserve">Консервативный вариант </w:t>
      </w:r>
      <w:r w:rsidR="006509F3">
        <w:rPr>
          <w:rFonts w:ascii="Times New Roman" w:hAnsi="Times New Roman"/>
          <w:sz w:val="24"/>
          <w:szCs w:val="24"/>
          <w:shd w:val="clear" w:color="auto" w:fill="FFFFFF"/>
          <w:lang w:eastAsia="ar-SA"/>
        </w:rPr>
        <w:t>учитывает</w:t>
      </w:r>
      <w:r w:rsidRPr="007E7241">
        <w:rPr>
          <w:rFonts w:ascii="Times New Roman" w:hAnsi="Times New Roman"/>
          <w:sz w:val="24"/>
          <w:szCs w:val="24"/>
          <w:shd w:val="clear" w:color="auto" w:fill="FFFFFF"/>
          <w:lang w:eastAsia="ar-SA"/>
        </w:rPr>
        <w:t xml:space="preserve"> наличие внешних и внутренних рисков достижения целевых показателей</w:t>
      </w:r>
      <w:r w:rsidR="004A351E">
        <w:rPr>
          <w:rFonts w:ascii="Times New Roman" w:hAnsi="Times New Roman"/>
          <w:sz w:val="24"/>
          <w:szCs w:val="24"/>
          <w:shd w:val="clear" w:color="auto" w:fill="FFFFFF"/>
          <w:lang w:eastAsia="ar-SA"/>
        </w:rPr>
        <w:t xml:space="preserve"> и </w:t>
      </w:r>
      <w:r w:rsidR="004A351E" w:rsidRPr="004A351E">
        <w:rPr>
          <w:rFonts w:ascii="Times New Roman" w:hAnsi="Times New Roman"/>
          <w:sz w:val="24"/>
          <w:szCs w:val="24"/>
          <w:shd w:val="clear" w:color="auto" w:fill="FFFFFF"/>
          <w:lang w:eastAsia="ar-SA"/>
        </w:rPr>
        <w:t xml:space="preserve">предполагает сдержанную динамику развития экономики. </w:t>
      </w:r>
    </w:p>
    <w:p w:rsidR="007E7241" w:rsidRDefault="007E7241" w:rsidP="005615F0">
      <w:pPr>
        <w:tabs>
          <w:tab w:val="left" w:pos="8208"/>
        </w:tabs>
        <w:spacing w:after="0"/>
        <w:ind w:firstLine="709"/>
        <w:jc w:val="both"/>
        <w:rPr>
          <w:rFonts w:ascii="Times New Roman" w:hAnsi="Times New Roman"/>
          <w:sz w:val="24"/>
          <w:szCs w:val="24"/>
          <w:shd w:val="clear" w:color="auto" w:fill="FFFFFF"/>
          <w:lang w:eastAsia="ar-SA"/>
        </w:rPr>
      </w:pPr>
      <w:r w:rsidRPr="007E7241">
        <w:rPr>
          <w:rFonts w:ascii="Times New Roman" w:hAnsi="Times New Roman"/>
          <w:sz w:val="24"/>
          <w:szCs w:val="24"/>
          <w:shd w:val="clear" w:color="auto" w:fill="FFFFFF"/>
          <w:lang w:eastAsia="ar-SA"/>
        </w:rPr>
        <w:t xml:space="preserve">Базовый вариант развития исходит из предпосылок полной реализации мер, направленных на достижение комплекса национальных целей развития. </w:t>
      </w:r>
    </w:p>
    <w:p w:rsidR="007E7241" w:rsidRPr="007E7241" w:rsidRDefault="007E7241" w:rsidP="005615F0">
      <w:pPr>
        <w:pStyle w:val="a6"/>
        <w:spacing w:after="0"/>
        <w:ind w:firstLine="709"/>
        <w:jc w:val="both"/>
        <w:rPr>
          <w:rFonts w:ascii="Times New Roman" w:hAnsi="Times New Roman" w:cs="Times New Roman"/>
          <w:sz w:val="24"/>
          <w:szCs w:val="24"/>
          <w:lang w:eastAsia="ru-RU"/>
        </w:rPr>
      </w:pPr>
      <w:r w:rsidRPr="007E7241">
        <w:rPr>
          <w:rFonts w:ascii="Times New Roman" w:hAnsi="Times New Roman" w:cs="Times New Roman"/>
          <w:sz w:val="24"/>
          <w:szCs w:val="24"/>
          <w:lang w:eastAsia="ru-RU"/>
        </w:rPr>
        <w:t>Отличия по вариантам также состоят:</w:t>
      </w:r>
    </w:p>
    <w:p w:rsidR="007E7241" w:rsidRPr="007E7241" w:rsidRDefault="007E7241" w:rsidP="005615F0">
      <w:pPr>
        <w:pStyle w:val="a6"/>
        <w:spacing w:after="0"/>
        <w:ind w:firstLine="709"/>
        <w:jc w:val="both"/>
        <w:rPr>
          <w:rFonts w:ascii="Times New Roman" w:hAnsi="Times New Roman" w:cs="Times New Roman"/>
          <w:sz w:val="24"/>
          <w:szCs w:val="24"/>
          <w:lang w:eastAsia="ru-RU"/>
        </w:rPr>
      </w:pPr>
      <w:r w:rsidRPr="007E7241">
        <w:rPr>
          <w:rFonts w:ascii="Times New Roman" w:hAnsi="Times New Roman" w:cs="Times New Roman"/>
          <w:sz w:val="24"/>
          <w:szCs w:val="24"/>
          <w:lang w:eastAsia="ru-RU"/>
        </w:rPr>
        <w:t xml:space="preserve">- в различной степени влияния внешних факторов на развитие экономики (динамика развития мировой и российской экономики, конъюнктура мировых рынков, курс национальной валюты, инфляция, макроэкономическая политика на федеральном </w:t>
      </w:r>
      <w:r>
        <w:rPr>
          <w:rFonts w:ascii="Times New Roman" w:hAnsi="Times New Roman" w:cs="Times New Roman"/>
          <w:sz w:val="24"/>
          <w:szCs w:val="24"/>
          <w:lang w:eastAsia="ru-RU"/>
        </w:rPr>
        <w:t xml:space="preserve">и региональном </w:t>
      </w:r>
      <w:r w:rsidRPr="007E7241">
        <w:rPr>
          <w:rFonts w:ascii="Times New Roman" w:hAnsi="Times New Roman" w:cs="Times New Roman"/>
          <w:sz w:val="24"/>
          <w:szCs w:val="24"/>
          <w:lang w:eastAsia="ru-RU"/>
        </w:rPr>
        <w:t>уровне и др</w:t>
      </w:r>
      <w:r>
        <w:rPr>
          <w:rFonts w:ascii="Times New Roman" w:hAnsi="Times New Roman" w:cs="Times New Roman"/>
          <w:sz w:val="24"/>
          <w:szCs w:val="24"/>
          <w:lang w:eastAsia="ru-RU"/>
        </w:rPr>
        <w:t>угие</w:t>
      </w:r>
      <w:r w:rsidRPr="007E7241">
        <w:rPr>
          <w:rFonts w:ascii="Times New Roman" w:hAnsi="Times New Roman" w:cs="Times New Roman"/>
          <w:sz w:val="24"/>
          <w:szCs w:val="24"/>
          <w:lang w:eastAsia="ru-RU"/>
        </w:rPr>
        <w:t xml:space="preserve"> факторы);  </w:t>
      </w:r>
    </w:p>
    <w:p w:rsidR="007E7241" w:rsidRDefault="007E7241" w:rsidP="005615F0">
      <w:pPr>
        <w:pStyle w:val="a6"/>
        <w:spacing w:after="0"/>
        <w:ind w:firstLine="709"/>
        <w:jc w:val="both"/>
        <w:rPr>
          <w:rFonts w:ascii="Times New Roman" w:hAnsi="Times New Roman" w:cs="Times New Roman"/>
          <w:sz w:val="24"/>
          <w:szCs w:val="24"/>
          <w:lang w:eastAsia="ru-RU"/>
        </w:rPr>
      </w:pPr>
      <w:r w:rsidRPr="007E7241">
        <w:rPr>
          <w:rFonts w:ascii="Times New Roman" w:hAnsi="Times New Roman" w:cs="Times New Roman"/>
          <w:sz w:val="24"/>
          <w:szCs w:val="24"/>
          <w:lang w:eastAsia="ru-RU"/>
        </w:rPr>
        <w:t xml:space="preserve">- в различной динамике развития основных отраслей и сфер экономики </w:t>
      </w:r>
      <w:r>
        <w:rPr>
          <w:rFonts w:ascii="Times New Roman" w:hAnsi="Times New Roman" w:cs="Times New Roman"/>
          <w:sz w:val="24"/>
          <w:szCs w:val="24"/>
          <w:lang w:eastAsia="ru-RU"/>
        </w:rPr>
        <w:t>городского округа Тольятти</w:t>
      </w:r>
      <w:r w:rsidRPr="007E7241">
        <w:rPr>
          <w:rFonts w:ascii="Times New Roman" w:hAnsi="Times New Roman" w:cs="Times New Roman"/>
          <w:sz w:val="24"/>
          <w:szCs w:val="24"/>
          <w:lang w:eastAsia="ru-RU"/>
        </w:rPr>
        <w:t>.</w:t>
      </w:r>
    </w:p>
    <w:p w:rsidR="009E1072" w:rsidRDefault="009E1072" w:rsidP="005615F0">
      <w:pPr>
        <w:pStyle w:val="a6"/>
        <w:spacing w:after="0"/>
        <w:ind w:firstLine="709"/>
        <w:jc w:val="both"/>
        <w:rPr>
          <w:rFonts w:ascii="Times New Roman" w:hAnsi="Times New Roman" w:cs="Times New Roman"/>
          <w:sz w:val="24"/>
          <w:szCs w:val="24"/>
          <w:lang w:eastAsia="ru-RU"/>
        </w:rPr>
      </w:pPr>
      <w:r w:rsidRPr="009E1072">
        <w:rPr>
          <w:rFonts w:ascii="Times New Roman" w:hAnsi="Times New Roman" w:cs="Times New Roman"/>
          <w:sz w:val="24"/>
          <w:szCs w:val="24"/>
          <w:lang w:eastAsia="ru-RU"/>
        </w:rPr>
        <w:t>В качестве основного варианта для разработки параметров бюджета городского округа Тольятти на 2020 год и плановый период 2021 и 2022 годов предлагается базовый вариант Прогноза.</w:t>
      </w:r>
    </w:p>
    <w:p w:rsidR="007E7241" w:rsidRDefault="00C85CAE" w:rsidP="005615F0">
      <w:pPr>
        <w:pStyle w:val="a6"/>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7E7241" w:rsidRPr="007E7241">
        <w:rPr>
          <w:rFonts w:ascii="Times New Roman" w:hAnsi="Times New Roman" w:cs="Times New Roman"/>
          <w:sz w:val="24"/>
          <w:szCs w:val="24"/>
          <w:lang w:eastAsia="ru-RU"/>
        </w:rPr>
        <w:t xml:space="preserve">оциально-экономическое развитие </w:t>
      </w:r>
      <w:r w:rsidR="007E7241">
        <w:rPr>
          <w:rFonts w:ascii="Times New Roman" w:hAnsi="Times New Roman" w:cs="Times New Roman"/>
          <w:sz w:val="24"/>
          <w:szCs w:val="24"/>
          <w:lang w:eastAsia="ru-RU"/>
        </w:rPr>
        <w:t xml:space="preserve">городского округа Тольятти </w:t>
      </w:r>
      <w:r w:rsidR="007E7241" w:rsidRPr="007E7241">
        <w:rPr>
          <w:rFonts w:ascii="Times New Roman" w:hAnsi="Times New Roman" w:cs="Times New Roman"/>
          <w:sz w:val="24"/>
          <w:szCs w:val="24"/>
          <w:lang w:eastAsia="ru-RU"/>
        </w:rPr>
        <w:t xml:space="preserve">в 2020 – 2022 годах во многом будет определяться влиянием внутренних факторов: демографическими процессами, уровнем благосостояния населения и развитием человеческого капитала, состоянием рынка труда, эффективностью государственной поддержки развития отраслей, </w:t>
      </w:r>
      <w:r w:rsidR="007E7241" w:rsidRPr="007E7241">
        <w:rPr>
          <w:rFonts w:ascii="Times New Roman" w:hAnsi="Times New Roman" w:cs="Times New Roman"/>
          <w:sz w:val="24"/>
          <w:szCs w:val="24"/>
          <w:lang w:eastAsia="ru-RU"/>
        </w:rPr>
        <w:lastRenderedPageBreak/>
        <w:t>реализацией инвестиционной политики, развитием предпринимательства, инфраструктуры и др</w:t>
      </w:r>
      <w:r>
        <w:rPr>
          <w:rFonts w:ascii="Times New Roman" w:hAnsi="Times New Roman" w:cs="Times New Roman"/>
          <w:sz w:val="24"/>
          <w:szCs w:val="24"/>
          <w:lang w:eastAsia="ru-RU"/>
        </w:rPr>
        <w:t>угими</w:t>
      </w:r>
      <w:r w:rsidR="007E7241" w:rsidRPr="007E7241">
        <w:rPr>
          <w:rFonts w:ascii="Times New Roman" w:hAnsi="Times New Roman" w:cs="Times New Roman"/>
          <w:sz w:val="24"/>
          <w:szCs w:val="24"/>
          <w:lang w:eastAsia="ru-RU"/>
        </w:rPr>
        <w:t>.</w:t>
      </w:r>
    </w:p>
    <w:p w:rsidR="00736F04" w:rsidRPr="00736F04" w:rsidRDefault="00736F04" w:rsidP="005615F0">
      <w:pPr>
        <w:pStyle w:val="a6"/>
        <w:spacing w:after="0"/>
        <w:ind w:firstLine="709"/>
        <w:jc w:val="both"/>
        <w:rPr>
          <w:rFonts w:ascii="Times New Roman" w:hAnsi="Times New Roman" w:cs="Times New Roman"/>
          <w:color w:val="1A1A1A"/>
          <w:sz w:val="24"/>
          <w:szCs w:val="24"/>
          <w:shd w:val="clear" w:color="auto" w:fill="FFFFFF"/>
        </w:rPr>
      </w:pPr>
      <w:r w:rsidRPr="00736F04">
        <w:rPr>
          <w:rFonts w:ascii="Times New Roman" w:hAnsi="Times New Roman" w:cs="Times New Roman"/>
          <w:color w:val="1A1A1A"/>
          <w:sz w:val="24"/>
          <w:szCs w:val="24"/>
          <w:shd w:val="clear" w:color="auto" w:fill="FFFFFF"/>
        </w:rPr>
        <w:t xml:space="preserve">В прогнозном периоде в городском округе Тольятти продолжится работа по реализации мероприятий, направленных на достижение целей и задач, поставленных на ближайшие 6 лет Президентом </w:t>
      </w:r>
      <w:r w:rsidR="006509F3">
        <w:rPr>
          <w:rFonts w:ascii="Times New Roman" w:hAnsi="Times New Roman" w:cs="Times New Roman"/>
          <w:color w:val="1A1A1A"/>
          <w:sz w:val="24"/>
          <w:szCs w:val="24"/>
          <w:shd w:val="clear" w:color="auto" w:fill="FFFFFF"/>
        </w:rPr>
        <w:t>Российской Федерации</w:t>
      </w:r>
      <w:r w:rsidRPr="00736F04">
        <w:rPr>
          <w:rFonts w:ascii="Times New Roman" w:hAnsi="Times New Roman" w:cs="Times New Roman"/>
          <w:color w:val="1A1A1A"/>
          <w:sz w:val="24"/>
          <w:szCs w:val="24"/>
          <w:shd w:val="clear" w:color="auto" w:fill="FFFFFF"/>
        </w:rPr>
        <w:t xml:space="preserve"> в рамках 12-ти национальных проектов.</w:t>
      </w:r>
    </w:p>
    <w:p w:rsidR="00736F04" w:rsidRDefault="00736F04" w:rsidP="005615F0">
      <w:pPr>
        <w:pStyle w:val="a6"/>
        <w:spacing w:after="0"/>
        <w:ind w:firstLine="709"/>
        <w:jc w:val="both"/>
        <w:rPr>
          <w:rFonts w:ascii="Times New Roman" w:hAnsi="Times New Roman" w:cs="Times New Roman"/>
          <w:color w:val="1A1A1A"/>
          <w:sz w:val="24"/>
          <w:szCs w:val="24"/>
          <w:shd w:val="clear" w:color="auto" w:fill="FFFFFF"/>
        </w:rPr>
      </w:pPr>
      <w:r w:rsidRPr="00736F04">
        <w:rPr>
          <w:rFonts w:ascii="Times New Roman" w:hAnsi="Times New Roman" w:cs="Times New Roman"/>
          <w:color w:val="1A1A1A"/>
          <w:sz w:val="24"/>
          <w:szCs w:val="24"/>
          <w:shd w:val="clear" w:color="auto" w:fill="FFFFFF"/>
        </w:rPr>
        <w:t xml:space="preserve">В 2019 году в администрации городского округа Тольятти создан Проектный офис по координации </w:t>
      </w:r>
      <w:r w:rsidR="009E1072">
        <w:rPr>
          <w:rFonts w:ascii="Times New Roman" w:hAnsi="Times New Roman" w:cs="Times New Roman"/>
          <w:color w:val="1A1A1A"/>
          <w:sz w:val="24"/>
          <w:szCs w:val="24"/>
          <w:shd w:val="clear" w:color="auto" w:fill="FFFFFF"/>
        </w:rPr>
        <w:t>и реализации национальных и федеральных проектов в части, касающейся городского округа Тольятти</w:t>
      </w:r>
      <w:r w:rsidRPr="00736F04">
        <w:rPr>
          <w:rFonts w:ascii="Times New Roman" w:hAnsi="Times New Roman" w:cs="Times New Roman"/>
          <w:color w:val="1A1A1A"/>
          <w:sz w:val="24"/>
          <w:szCs w:val="24"/>
          <w:shd w:val="clear" w:color="auto" w:fill="FFFFFF"/>
        </w:rPr>
        <w:t>, назначены ответственные лица, согласованы целевые показатели, разработаны и реализуются мероприятия.</w:t>
      </w:r>
    </w:p>
    <w:p w:rsidR="00BA3176" w:rsidRPr="00BA3176" w:rsidRDefault="00BA3176" w:rsidP="005615F0">
      <w:pPr>
        <w:pStyle w:val="a6"/>
        <w:spacing w:after="0"/>
        <w:ind w:firstLine="709"/>
        <w:jc w:val="both"/>
        <w:rPr>
          <w:rFonts w:ascii="Times New Roman" w:hAnsi="Times New Roman" w:cs="Times New Roman"/>
          <w:color w:val="1A1A1A"/>
          <w:sz w:val="24"/>
          <w:szCs w:val="24"/>
          <w:shd w:val="clear" w:color="auto" w:fill="FFFFFF"/>
        </w:rPr>
      </w:pPr>
      <w:r w:rsidRPr="00FF5181">
        <w:rPr>
          <w:rFonts w:ascii="Times New Roman" w:hAnsi="Times New Roman" w:cs="Times New Roman"/>
          <w:color w:val="1A1A1A"/>
          <w:sz w:val="24"/>
          <w:szCs w:val="24"/>
          <w:shd w:val="clear" w:color="auto" w:fill="FFFFFF"/>
        </w:rPr>
        <w:t>Важнейши</w:t>
      </w:r>
      <w:r w:rsidR="00FF5181" w:rsidRPr="00FF5181">
        <w:rPr>
          <w:rFonts w:ascii="Times New Roman" w:hAnsi="Times New Roman" w:cs="Times New Roman"/>
          <w:color w:val="1A1A1A"/>
          <w:sz w:val="24"/>
          <w:szCs w:val="24"/>
          <w:shd w:val="clear" w:color="auto" w:fill="FFFFFF"/>
        </w:rPr>
        <w:t>е</w:t>
      </w:r>
      <w:r w:rsidRPr="00FF5181">
        <w:rPr>
          <w:rFonts w:ascii="Times New Roman" w:hAnsi="Times New Roman" w:cs="Times New Roman"/>
          <w:color w:val="1A1A1A"/>
          <w:sz w:val="24"/>
          <w:szCs w:val="24"/>
          <w:shd w:val="clear" w:color="auto" w:fill="FFFFFF"/>
        </w:rPr>
        <w:t xml:space="preserve"> фактор</w:t>
      </w:r>
      <w:r w:rsidR="00FF5181" w:rsidRPr="00FF5181">
        <w:rPr>
          <w:rFonts w:ascii="Times New Roman" w:hAnsi="Times New Roman" w:cs="Times New Roman"/>
          <w:color w:val="1A1A1A"/>
          <w:sz w:val="24"/>
          <w:szCs w:val="24"/>
          <w:shd w:val="clear" w:color="auto" w:fill="FFFFFF"/>
        </w:rPr>
        <w:t>ы</w:t>
      </w:r>
      <w:r w:rsidRPr="00FF5181">
        <w:rPr>
          <w:rFonts w:ascii="Times New Roman" w:hAnsi="Times New Roman" w:cs="Times New Roman"/>
          <w:color w:val="1A1A1A"/>
          <w:sz w:val="24"/>
          <w:szCs w:val="24"/>
          <w:shd w:val="clear" w:color="auto" w:fill="FFFFFF"/>
        </w:rPr>
        <w:t xml:space="preserve"> экономического роста в 2020 – 2022 годах</w:t>
      </w:r>
      <w:r w:rsidR="00736F04">
        <w:rPr>
          <w:rFonts w:ascii="Times New Roman" w:hAnsi="Times New Roman" w:cs="Times New Roman"/>
          <w:color w:val="1A1A1A"/>
          <w:sz w:val="24"/>
          <w:szCs w:val="24"/>
          <w:shd w:val="clear" w:color="auto" w:fill="FFFFFF"/>
        </w:rPr>
        <w:t>:</w:t>
      </w:r>
    </w:p>
    <w:p w:rsidR="00BA3176" w:rsidRPr="00BA3176" w:rsidRDefault="00BA3176" w:rsidP="005615F0">
      <w:pPr>
        <w:pStyle w:val="a6"/>
        <w:spacing w:after="0"/>
        <w:ind w:firstLine="709"/>
        <w:jc w:val="both"/>
        <w:rPr>
          <w:rFonts w:ascii="Times New Roman" w:hAnsi="Times New Roman" w:cs="Times New Roman"/>
          <w:color w:val="1A1A1A"/>
          <w:sz w:val="24"/>
          <w:szCs w:val="24"/>
          <w:shd w:val="clear" w:color="auto" w:fill="FFFFFF"/>
        </w:rPr>
      </w:pPr>
      <w:r w:rsidRPr="00BA3176">
        <w:rPr>
          <w:rFonts w:ascii="Times New Roman" w:hAnsi="Times New Roman" w:cs="Times New Roman"/>
          <w:color w:val="1A1A1A"/>
          <w:sz w:val="24"/>
          <w:szCs w:val="24"/>
          <w:shd w:val="clear" w:color="auto" w:fill="FFFFFF"/>
        </w:rPr>
        <w:t xml:space="preserve">1. Поддержка потребительского спроса. В среднесрочной перспективе  с учетом сохранения инфляции на достаточно низком уровне прогнозируется рост заработной платы и реальных доходов населения, что, в свою очередь, будет способствовать увеличению потребительской активности населения. Поддержка роста доходов населения в рамках государственной политики будет оказана с помощью повышения заработных плат работникам бюджетного сектора, индексации социальных трансфертов, реализации мер социальной поддержки с повышением роли принципов адресности и нуждаемости. </w:t>
      </w:r>
    </w:p>
    <w:p w:rsidR="00BA3176" w:rsidRPr="00BA3176" w:rsidRDefault="00BA3176" w:rsidP="005615F0">
      <w:pPr>
        <w:pStyle w:val="a6"/>
        <w:spacing w:after="0"/>
        <w:ind w:firstLine="709"/>
        <w:jc w:val="both"/>
        <w:rPr>
          <w:rFonts w:ascii="Times New Roman" w:hAnsi="Times New Roman" w:cs="Times New Roman"/>
          <w:color w:val="1A1A1A"/>
          <w:sz w:val="24"/>
          <w:szCs w:val="24"/>
          <w:shd w:val="clear" w:color="auto" w:fill="FFFFFF"/>
        </w:rPr>
      </w:pPr>
      <w:r w:rsidRPr="00BA3176">
        <w:rPr>
          <w:rFonts w:ascii="Times New Roman" w:hAnsi="Times New Roman" w:cs="Times New Roman"/>
          <w:color w:val="1A1A1A"/>
          <w:sz w:val="24"/>
          <w:szCs w:val="24"/>
          <w:shd w:val="clear" w:color="auto" w:fill="FFFFFF"/>
        </w:rPr>
        <w:t>2. Стимулирование инвестиционного спроса, основанное на повышении уровня и качества инвестиций в основной капитал. С этой целью продолжится работа по улучшению инвестиционного климата, созданию условий для роста частных инвестиций. Увеличение инвестиций в основной капитал будет поддержано крупномасштабными инвестиционными проектами в автомобилестроении</w:t>
      </w:r>
      <w:r w:rsidR="00572370">
        <w:rPr>
          <w:rFonts w:ascii="Times New Roman" w:hAnsi="Times New Roman" w:cs="Times New Roman"/>
          <w:color w:val="1A1A1A"/>
          <w:sz w:val="24"/>
          <w:szCs w:val="24"/>
          <w:shd w:val="clear" w:color="auto" w:fill="FFFFFF"/>
        </w:rPr>
        <w:t xml:space="preserve"> и</w:t>
      </w:r>
      <w:r w:rsidRPr="00BA3176">
        <w:rPr>
          <w:rFonts w:ascii="Times New Roman" w:hAnsi="Times New Roman" w:cs="Times New Roman"/>
          <w:color w:val="1A1A1A"/>
          <w:sz w:val="24"/>
          <w:szCs w:val="24"/>
          <w:shd w:val="clear" w:color="auto" w:fill="FFFFFF"/>
        </w:rPr>
        <w:t xml:space="preserve"> химической </w:t>
      </w:r>
      <w:r w:rsidR="007B4112" w:rsidRPr="00BA3176">
        <w:rPr>
          <w:rFonts w:ascii="Times New Roman" w:hAnsi="Times New Roman" w:cs="Times New Roman"/>
          <w:color w:val="1A1A1A"/>
          <w:sz w:val="24"/>
          <w:szCs w:val="24"/>
          <w:shd w:val="clear" w:color="auto" w:fill="FFFFFF"/>
        </w:rPr>
        <w:t>промышленности, инфраструктурном</w:t>
      </w:r>
      <w:r w:rsidRPr="00BA3176">
        <w:rPr>
          <w:rFonts w:ascii="Times New Roman" w:hAnsi="Times New Roman" w:cs="Times New Roman"/>
          <w:color w:val="1A1A1A"/>
          <w:sz w:val="24"/>
          <w:szCs w:val="24"/>
          <w:shd w:val="clear" w:color="auto" w:fill="FFFFFF"/>
        </w:rPr>
        <w:t xml:space="preserve"> комплексе и других секторах экономики. Стимулирование инвестиционной активности будет способствовать созданию новых рабочих мест. </w:t>
      </w:r>
    </w:p>
    <w:p w:rsidR="00BA3176" w:rsidRPr="00BA3176" w:rsidRDefault="00BA3176" w:rsidP="005615F0">
      <w:pPr>
        <w:pStyle w:val="a6"/>
        <w:spacing w:after="0"/>
        <w:ind w:firstLine="709"/>
        <w:jc w:val="both"/>
        <w:rPr>
          <w:rFonts w:ascii="Times New Roman" w:hAnsi="Times New Roman" w:cs="Times New Roman"/>
          <w:color w:val="1A1A1A"/>
          <w:sz w:val="24"/>
          <w:szCs w:val="24"/>
          <w:shd w:val="clear" w:color="auto" w:fill="FFFFFF"/>
        </w:rPr>
      </w:pPr>
      <w:r w:rsidRPr="00BA3176">
        <w:rPr>
          <w:rFonts w:ascii="Times New Roman" w:hAnsi="Times New Roman" w:cs="Times New Roman"/>
          <w:color w:val="1A1A1A"/>
          <w:sz w:val="24"/>
          <w:szCs w:val="24"/>
          <w:shd w:val="clear" w:color="auto" w:fill="FFFFFF"/>
        </w:rPr>
        <w:t>3. Увеличение производительности труда, основанное на технологической модернизации производств, внедрении принципов бережливого производства, цифровых технологий, стимулировании инновационной деятельности, повышении квалификации персонала. Росту показателя будет способствовать реализация национального проекта «Производительность труда и поддержка занятости». Основной деятельностью в данном направлении станет поддержка программ повышения производительности труда на предприятиях и реализация активных программ по обучению и трудоустройству работников предприятий-участников национального проекта.</w:t>
      </w:r>
    </w:p>
    <w:p w:rsidR="00BA3176" w:rsidRPr="00BA3176" w:rsidRDefault="00BA3176" w:rsidP="005615F0">
      <w:pPr>
        <w:pStyle w:val="a6"/>
        <w:spacing w:after="0"/>
        <w:ind w:firstLine="709"/>
        <w:jc w:val="both"/>
        <w:rPr>
          <w:rFonts w:ascii="Times New Roman" w:hAnsi="Times New Roman" w:cs="Times New Roman"/>
          <w:color w:val="1A1A1A"/>
          <w:sz w:val="24"/>
          <w:szCs w:val="24"/>
          <w:shd w:val="clear" w:color="auto" w:fill="FFFFFF"/>
        </w:rPr>
      </w:pPr>
      <w:r w:rsidRPr="00BA3176">
        <w:rPr>
          <w:rFonts w:ascii="Times New Roman" w:hAnsi="Times New Roman" w:cs="Times New Roman"/>
          <w:color w:val="1A1A1A"/>
          <w:sz w:val="24"/>
          <w:szCs w:val="24"/>
          <w:shd w:val="clear" w:color="auto" w:fill="FFFFFF"/>
        </w:rPr>
        <w:t xml:space="preserve">4. Поддержка внешнего спроса. Продолжится реализация мероприятий по развитию экспортной деятельности в Самарской области, увеличению объемов регионального экспорта товаров и услуг, в том числе в рамках региональной составляющей национального проекта «Международная кооперация и экспорт». </w:t>
      </w:r>
    </w:p>
    <w:p w:rsidR="00BA3176" w:rsidRDefault="00BA3176" w:rsidP="005615F0">
      <w:pPr>
        <w:pStyle w:val="a6"/>
        <w:spacing w:after="0"/>
        <w:ind w:firstLine="709"/>
        <w:jc w:val="both"/>
        <w:rPr>
          <w:rFonts w:ascii="Times New Roman" w:hAnsi="Times New Roman" w:cs="Times New Roman"/>
          <w:color w:val="1A1A1A"/>
          <w:sz w:val="24"/>
          <w:szCs w:val="24"/>
          <w:shd w:val="clear" w:color="auto" w:fill="FFFFFF"/>
        </w:rPr>
      </w:pPr>
      <w:r w:rsidRPr="00BA3176">
        <w:rPr>
          <w:rFonts w:ascii="Times New Roman" w:hAnsi="Times New Roman" w:cs="Times New Roman"/>
          <w:color w:val="1A1A1A"/>
          <w:sz w:val="24"/>
          <w:szCs w:val="24"/>
          <w:shd w:val="clear" w:color="auto" w:fill="FFFFFF"/>
        </w:rPr>
        <w:t xml:space="preserve">Основными ограничениями экономического в 2020 – 2022 годах могут стать внешние риски (замедление темпов роста мировой </w:t>
      </w:r>
      <w:r w:rsidR="00572370">
        <w:rPr>
          <w:rFonts w:ascii="Times New Roman" w:hAnsi="Times New Roman" w:cs="Times New Roman"/>
          <w:color w:val="1A1A1A"/>
          <w:sz w:val="24"/>
          <w:szCs w:val="24"/>
          <w:shd w:val="clear" w:color="auto" w:fill="FFFFFF"/>
        </w:rPr>
        <w:t xml:space="preserve">и российской </w:t>
      </w:r>
      <w:r w:rsidRPr="00BA3176">
        <w:rPr>
          <w:rFonts w:ascii="Times New Roman" w:hAnsi="Times New Roman" w:cs="Times New Roman"/>
          <w:color w:val="1A1A1A"/>
          <w:sz w:val="24"/>
          <w:szCs w:val="24"/>
          <w:shd w:val="clear" w:color="auto" w:fill="FFFFFF"/>
        </w:rPr>
        <w:t>экономики</w:t>
      </w:r>
      <w:r w:rsidR="00572370">
        <w:rPr>
          <w:rFonts w:ascii="Times New Roman" w:hAnsi="Times New Roman" w:cs="Times New Roman"/>
          <w:color w:val="1A1A1A"/>
          <w:sz w:val="24"/>
          <w:szCs w:val="24"/>
          <w:shd w:val="clear" w:color="auto" w:fill="FFFFFF"/>
        </w:rPr>
        <w:t xml:space="preserve">, </w:t>
      </w:r>
      <w:r w:rsidRPr="00BA3176">
        <w:rPr>
          <w:rFonts w:ascii="Times New Roman" w:hAnsi="Times New Roman" w:cs="Times New Roman"/>
          <w:color w:val="1A1A1A"/>
          <w:sz w:val="24"/>
          <w:szCs w:val="24"/>
          <w:shd w:val="clear" w:color="auto" w:fill="FFFFFF"/>
        </w:rPr>
        <w:t xml:space="preserve">ужесточение применения санкционного режима в отношении российской экономики),  масштабы теневой экономики, риски снижения конкурентоспособности продукции, нехватка финансовых ресурсов, направляемых на инвестирование, в том числе бюджетных, ухудшение условий кредитования, высокая степень износа основных фондов, административные барьеры в инвестиционно-строительной сфере, исчерпание резервов </w:t>
      </w:r>
      <w:r w:rsidRPr="00BA3176">
        <w:rPr>
          <w:rFonts w:ascii="Times New Roman" w:hAnsi="Times New Roman" w:cs="Times New Roman"/>
          <w:color w:val="1A1A1A"/>
          <w:sz w:val="24"/>
          <w:szCs w:val="24"/>
          <w:shd w:val="clear" w:color="auto" w:fill="FFFFFF"/>
        </w:rPr>
        <w:lastRenderedPageBreak/>
        <w:t>инженерной инфраструктуры, структурные диспропорции профессионально-квалификационного состава работников и др</w:t>
      </w:r>
      <w:r w:rsidR="00572370">
        <w:rPr>
          <w:rFonts w:ascii="Times New Roman" w:hAnsi="Times New Roman" w:cs="Times New Roman"/>
          <w:color w:val="1A1A1A"/>
          <w:sz w:val="24"/>
          <w:szCs w:val="24"/>
          <w:shd w:val="clear" w:color="auto" w:fill="FFFFFF"/>
        </w:rPr>
        <w:t>угие</w:t>
      </w:r>
      <w:r w:rsidRPr="00BA3176">
        <w:rPr>
          <w:rFonts w:ascii="Times New Roman" w:hAnsi="Times New Roman" w:cs="Times New Roman"/>
          <w:color w:val="1A1A1A"/>
          <w:sz w:val="24"/>
          <w:szCs w:val="24"/>
          <w:shd w:val="clear" w:color="auto" w:fill="FFFFFF"/>
        </w:rPr>
        <w:t xml:space="preserve"> факторы. </w:t>
      </w:r>
    </w:p>
    <w:p w:rsidR="00E45DCE" w:rsidRDefault="00E45DCE" w:rsidP="00E62254">
      <w:pPr>
        <w:widowControl w:val="0"/>
        <w:suppressAutoHyphens/>
        <w:spacing w:after="0"/>
        <w:jc w:val="center"/>
        <w:rPr>
          <w:rFonts w:ascii="Times New Roman" w:hAnsi="Times New Roman"/>
          <w:b/>
          <w:sz w:val="24"/>
          <w:szCs w:val="24"/>
          <w:shd w:val="clear" w:color="auto" w:fill="FFFFFF"/>
          <w:lang w:eastAsia="ar-SA"/>
        </w:rPr>
      </w:pPr>
    </w:p>
    <w:p w:rsidR="00D23964" w:rsidRDefault="00D23964" w:rsidP="00E62254">
      <w:pPr>
        <w:widowControl w:val="0"/>
        <w:suppressAutoHyphens/>
        <w:spacing w:after="0"/>
        <w:jc w:val="center"/>
        <w:rPr>
          <w:rFonts w:ascii="Times New Roman" w:hAnsi="Times New Roman"/>
          <w:b/>
          <w:sz w:val="24"/>
          <w:szCs w:val="24"/>
          <w:shd w:val="clear" w:color="auto" w:fill="FFFFFF"/>
          <w:lang w:eastAsia="ar-SA"/>
        </w:rPr>
      </w:pPr>
      <w:r w:rsidRPr="00EB2EFA">
        <w:rPr>
          <w:rFonts w:ascii="Times New Roman" w:hAnsi="Times New Roman"/>
          <w:b/>
          <w:sz w:val="24"/>
          <w:szCs w:val="24"/>
          <w:shd w:val="clear" w:color="auto" w:fill="FFFFFF"/>
          <w:lang w:eastAsia="ar-SA"/>
        </w:rPr>
        <w:t>Показатели инфляции</w:t>
      </w:r>
      <w:bookmarkStart w:id="0" w:name="инфляция"/>
      <w:bookmarkEnd w:id="0"/>
    </w:p>
    <w:p w:rsidR="00572370" w:rsidRPr="00EB2EFA" w:rsidRDefault="00572370" w:rsidP="00E62254">
      <w:pPr>
        <w:widowControl w:val="0"/>
        <w:suppressAutoHyphens/>
        <w:spacing w:after="0"/>
        <w:jc w:val="center"/>
        <w:rPr>
          <w:rFonts w:ascii="Times New Roman" w:hAnsi="Times New Roman"/>
          <w:b/>
          <w:sz w:val="24"/>
          <w:szCs w:val="24"/>
          <w:shd w:val="clear" w:color="auto" w:fill="FFFFFF"/>
          <w:lang w:eastAsia="ar-SA"/>
        </w:rPr>
      </w:pPr>
    </w:p>
    <w:p w:rsidR="004434AA" w:rsidRDefault="000B7455" w:rsidP="004434AA">
      <w:pPr>
        <w:spacing w:after="0"/>
        <w:ind w:firstLine="709"/>
        <w:jc w:val="both"/>
        <w:rPr>
          <w:rFonts w:ascii="Times New Roman" w:eastAsia="Calibri" w:hAnsi="Times New Roman" w:cs="Calibri"/>
          <w:sz w:val="24"/>
          <w:szCs w:val="24"/>
          <w:shd w:val="clear" w:color="auto" w:fill="FFFFFF"/>
          <w:lang w:eastAsia="ar-SA"/>
        </w:rPr>
      </w:pPr>
      <w:r w:rsidRPr="004434AA">
        <w:rPr>
          <w:rFonts w:ascii="Times New Roman" w:hAnsi="Times New Roman"/>
          <w:sz w:val="24"/>
          <w:szCs w:val="24"/>
          <w:shd w:val="clear" w:color="auto" w:fill="FFFFFF"/>
          <w:lang w:eastAsia="ar-SA"/>
        </w:rPr>
        <w:t xml:space="preserve">Согласно </w:t>
      </w:r>
      <w:r w:rsidR="00AE17FE" w:rsidRPr="004434AA">
        <w:rPr>
          <w:rFonts w:ascii="Times New Roman" w:hAnsi="Times New Roman"/>
          <w:sz w:val="24"/>
          <w:szCs w:val="24"/>
          <w:shd w:val="clear" w:color="auto" w:fill="FFFFFF"/>
          <w:lang w:eastAsia="ar-SA"/>
        </w:rPr>
        <w:t>Сценарным условиям</w:t>
      </w:r>
      <w:r w:rsidR="004434AA" w:rsidRPr="004434AA">
        <w:rPr>
          <w:rFonts w:ascii="Times New Roman" w:eastAsia="Calibri" w:hAnsi="Times New Roman" w:cs="Calibri"/>
          <w:sz w:val="24"/>
          <w:szCs w:val="24"/>
          <w:shd w:val="clear" w:color="auto" w:fill="FFFFFF"/>
          <w:lang w:eastAsia="ar-SA"/>
        </w:rPr>
        <w:t xml:space="preserve"> п</w:t>
      </w:r>
      <w:r w:rsidR="004434AA" w:rsidRPr="00491D30">
        <w:rPr>
          <w:rFonts w:ascii="Times New Roman" w:eastAsia="Calibri" w:hAnsi="Times New Roman" w:cs="Calibri"/>
          <w:sz w:val="24"/>
          <w:szCs w:val="24"/>
          <w:shd w:val="clear" w:color="auto" w:fill="FFFFFF"/>
          <w:lang w:eastAsia="ar-SA"/>
        </w:rPr>
        <w:t xml:space="preserve">риоритетной задачей региональной </w:t>
      </w:r>
      <w:r w:rsidR="004434AA" w:rsidRPr="00491D30">
        <w:rPr>
          <w:rFonts w:ascii="Times New Roman" w:eastAsia="Calibri" w:hAnsi="Times New Roman" w:cs="Calibri"/>
          <w:b/>
          <w:sz w:val="24"/>
          <w:szCs w:val="24"/>
          <w:shd w:val="clear" w:color="auto" w:fill="FFFFFF"/>
          <w:lang w:eastAsia="ar-SA"/>
        </w:rPr>
        <w:t>тарифной политики</w:t>
      </w:r>
      <w:r w:rsidR="004434AA" w:rsidRPr="00491D30">
        <w:rPr>
          <w:rFonts w:ascii="Times New Roman" w:eastAsia="Calibri" w:hAnsi="Times New Roman" w:cs="Calibri"/>
          <w:sz w:val="24"/>
          <w:szCs w:val="24"/>
          <w:shd w:val="clear" w:color="auto" w:fill="FFFFFF"/>
          <w:lang w:eastAsia="ar-SA"/>
        </w:rPr>
        <w:t xml:space="preserve"> в 2020 – 2022 годах является создание условий для стабилизации цен на потребительском рынке региона и мониторинг за ценообразованием на социально значимые товары и услуги. </w:t>
      </w:r>
    </w:p>
    <w:p w:rsidR="00ED301C" w:rsidRDefault="004434AA" w:rsidP="004434AA">
      <w:pPr>
        <w:spacing w:after="0"/>
        <w:ind w:firstLine="709"/>
        <w:jc w:val="both"/>
        <w:rPr>
          <w:rFonts w:ascii="Times New Roman" w:eastAsia="Calibri" w:hAnsi="Times New Roman" w:cs="Calibri"/>
          <w:sz w:val="24"/>
          <w:szCs w:val="24"/>
          <w:shd w:val="clear" w:color="auto" w:fill="FFFFFF"/>
          <w:lang w:eastAsia="ar-SA"/>
        </w:rPr>
      </w:pPr>
      <w:r w:rsidRPr="00491D30">
        <w:rPr>
          <w:rFonts w:ascii="Times New Roman" w:eastAsia="Calibri" w:hAnsi="Times New Roman" w:cs="Calibri"/>
          <w:sz w:val="24"/>
          <w:szCs w:val="24"/>
          <w:shd w:val="clear" w:color="auto" w:fill="FFFFFF"/>
          <w:lang w:eastAsia="ar-SA"/>
        </w:rPr>
        <w:t>По консервативному варианту</w:t>
      </w:r>
      <w:r>
        <w:rPr>
          <w:rFonts w:ascii="Times New Roman" w:eastAsia="Calibri" w:hAnsi="Times New Roman" w:cs="Calibri"/>
          <w:sz w:val="24"/>
          <w:szCs w:val="24"/>
          <w:shd w:val="clear" w:color="auto" w:fill="FFFFFF"/>
          <w:lang w:eastAsia="ar-SA"/>
        </w:rPr>
        <w:t xml:space="preserve"> прогноза</w:t>
      </w:r>
      <w:r w:rsidRPr="00491D30">
        <w:rPr>
          <w:rFonts w:ascii="Times New Roman" w:eastAsia="Calibri" w:hAnsi="Times New Roman" w:cs="Calibri"/>
          <w:sz w:val="24"/>
          <w:szCs w:val="24"/>
          <w:shd w:val="clear" w:color="auto" w:fill="FFFFFF"/>
          <w:lang w:eastAsia="ar-SA"/>
        </w:rPr>
        <w:t xml:space="preserve"> уровень инфляции в 2020 году </w:t>
      </w:r>
      <w:r>
        <w:rPr>
          <w:rFonts w:ascii="Times New Roman" w:eastAsia="Calibri" w:hAnsi="Times New Roman" w:cs="Calibri"/>
          <w:sz w:val="24"/>
          <w:szCs w:val="24"/>
          <w:shd w:val="clear" w:color="auto" w:fill="FFFFFF"/>
          <w:lang w:eastAsia="ar-SA"/>
        </w:rPr>
        <w:t>составит</w:t>
      </w:r>
      <w:r w:rsidRPr="00491D30">
        <w:rPr>
          <w:rFonts w:ascii="Times New Roman" w:eastAsia="Calibri" w:hAnsi="Times New Roman" w:cs="Calibri"/>
          <w:sz w:val="24"/>
          <w:szCs w:val="24"/>
          <w:shd w:val="clear" w:color="auto" w:fill="FFFFFF"/>
          <w:lang w:eastAsia="ar-SA"/>
        </w:rPr>
        <w:t xml:space="preserve"> 104,2% к декабрю 2019 года </w:t>
      </w:r>
      <w:r w:rsidR="007B4112">
        <w:rPr>
          <w:rFonts w:ascii="Times New Roman" w:eastAsia="Calibri" w:hAnsi="Times New Roman" w:cs="Calibri"/>
          <w:sz w:val="24"/>
          <w:szCs w:val="24"/>
          <w:shd w:val="clear" w:color="auto" w:fill="FFFFFF"/>
          <w:lang w:eastAsia="ar-SA"/>
        </w:rPr>
        <w:t xml:space="preserve">(104,0% среднегодовой) </w:t>
      </w:r>
      <w:r w:rsidRPr="00491D30">
        <w:rPr>
          <w:rFonts w:ascii="Times New Roman" w:eastAsia="Calibri" w:hAnsi="Times New Roman" w:cs="Calibri"/>
          <w:sz w:val="24"/>
          <w:szCs w:val="24"/>
          <w:shd w:val="clear" w:color="auto" w:fill="FFFFFF"/>
          <w:lang w:eastAsia="ar-SA"/>
        </w:rPr>
        <w:t>вследствие более слабого курса рубля и увеличения материальных издержек, особенно в видах экономической деятельности с высокой импортозависимостью при одновременном сдерживании затрат на оплату труда. С 2021 года уровень инфляции планируется на уровне базового варианта</w:t>
      </w:r>
      <w:r w:rsidR="007B4112">
        <w:rPr>
          <w:rFonts w:ascii="Times New Roman" w:eastAsia="Calibri" w:hAnsi="Times New Roman" w:cs="Calibri"/>
          <w:sz w:val="24"/>
          <w:szCs w:val="24"/>
          <w:shd w:val="clear" w:color="auto" w:fill="FFFFFF"/>
          <w:lang w:eastAsia="ar-SA"/>
        </w:rPr>
        <w:t xml:space="preserve"> -</w:t>
      </w:r>
      <w:r w:rsidRPr="00491D30">
        <w:rPr>
          <w:rFonts w:ascii="Times New Roman" w:eastAsia="Calibri" w:hAnsi="Times New Roman" w:cs="Calibri"/>
          <w:sz w:val="24"/>
          <w:szCs w:val="24"/>
          <w:shd w:val="clear" w:color="auto" w:fill="FFFFFF"/>
          <w:lang w:eastAsia="ar-SA"/>
        </w:rPr>
        <w:t xml:space="preserve"> 104</w:t>
      </w:r>
      <w:r w:rsidR="00EB2EFA">
        <w:rPr>
          <w:rFonts w:ascii="Times New Roman" w:eastAsia="Calibri" w:hAnsi="Times New Roman" w:cs="Calibri"/>
          <w:sz w:val="24"/>
          <w:szCs w:val="24"/>
          <w:shd w:val="clear" w:color="auto" w:fill="FFFFFF"/>
          <w:lang w:eastAsia="ar-SA"/>
        </w:rPr>
        <w:t>,0</w:t>
      </w:r>
      <w:r w:rsidRPr="00491D30">
        <w:rPr>
          <w:rFonts w:ascii="Times New Roman" w:eastAsia="Calibri" w:hAnsi="Times New Roman" w:cs="Calibri"/>
          <w:sz w:val="24"/>
          <w:szCs w:val="24"/>
          <w:shd w:val="clear" w:color="auto" w:fill="FFFFFF"/>
          <w:lang w:eastAsia="ar-SA"/>
        </w:rPr>
        <w:t>% к декабрю предыдущего года</w:t>
      </w:r>
      <w:r w:rsidR="007B4112">
        <w:rPr>
          <w:rFonts w:ascii="Times New Roman" w:eastAsia="Calibri" w:hAnsi="Times New Roman" w:cs="Calibri"/>
          <w:sz w:val="24"/>
          <w:szCs w:val="24"/>
          <w:shd w:val="clear" w:color="auto" w:fill="FFFFFF"/>
          <w:lang w:eastAsia="ar-SA"/>
        </w:rPr>
        <w:t xml:space="preserve">, также и </w:t>
      </w:r>
      <w:r w:rsidR="00ED301C" w:rsidRPr="007B4112">
        <w:rPr>
          <w:rFonts w:ascii="Times New Roman" w:eastAsia="Calibri" w:hAnsi="Times New Roman" w:cs="Calibri"/>
          <w:sz w:val="24"/>
          <w:szCs w:val="24"/>
          <w:shd w:val="clear" w:color="auto" w:fill="FFFFFF"/>
          <w:lang w:eastAsia="ar-SA"/>
        </w:rPr>
        <w:t>среднегодовой</w:t>
      </w:r>
      <w:r w:rsidR="007B4112" w:rsidRPr="007B4112">
        <w:rPr>
          <w:rFonts w:ascii="Times New Roman" w:eastAsia="Calibri" w:hAnsi="Times New Roman" w:cs="Calibri"/>
          <w:sz w:val="24"/>
          <w:szCs w:val="24"/>
          <w:shd w:val="clear" w:color="auto" w:fill="FFFFFF"/>
          <w:lang w:eastAsia="ar-SA"/>
        </w:rPr>
        <w:t>.</w:t>
      </w:r>
    </w:p>
    <w:p w:rsidR="00ED301C" w:rsidRPr="00491D30" w:rsidRDefault="004434AA" w:rsidP="004434AA">
      <w:pPr>
        <w:spacing w:after="0"/>
        <w:ind w:firstLine="709"/>
        <w:jc w:val="both"/>
        <w:rPr>
          <w:rFonts w:ascii="Times New Roman" w:eastAsia="Calibri" w:hAnsi="Times New Roman" w:cs="Calibri"/>
          <w:sz w:val="24"/>
          <w:szCs w:val="24"/>
          <w:shd w:val="clear" w:color="auto" w:fill="FFFFFF"/>
          <w:lang w:eastAsia="ar-SA"/>
        </w:rPr>
      </w:pPr>
      <w:r w:rsidRPr="00491D30">
        <w:rPr>
          <w:rFonts w:ascii="Times New Roman" w:eastAsia="Calibri" w:hAnsi="Times New Roman" w:cs="Calibri"/>
          <w:sz w:val="24"/>
          <w:szCs w:val="24"/>
          <w:shd w:val="clear" w:color="auto" w:fill="FFFFFF"/>
          <w:lang w:eastAsia="ar-SA"/>
        </w:rPr>
        <w:t>По базовому варианту развития в 2020 году ожидается снижение индекса потребительских цен до 103,8%</w:t>
      </w:r>
      <w:r w:rsidR="007B4112">
        <w:rPr>
          <w:rFonts w:ascii="Times New Roman" w:eastAsia="Calibri" w:hAnsi="Times New Roman" w:cs="Calibri"/>
          <w:sz w:val="24"/>
          <w:szCs w:val="24"/>
          <w:shd w:val="clear" w:color="auto" w:fill="FFFFFF"/>
          <w:lang w:eastAsia="ar-SA"/>
        </w:rPr>
        <w:t xml:space="preserve"> (103,7% среднегодовой)</w:t>
      </w:r>
      <w:r w:rsidRPr="00491D30">
        <w:rPr>
          <w:rFonts w:ascii="Times New Roman" w:eastAsia="Calibri" w:hAnsi="Times New Roman" w:cs="Calibri"/>
          <w:sz w:val="24"/>
          <w:szCs w:val="24"/>
          <w:shd w:val="clear" w:color="auto" w:fill="FFFFFF"/>
          <w:lang w:eastAsia="ar-SA"/>
        </w:rPr>
        <w:t>, а с 2021 года показатель прогнозируется на уровне 104</w:t>
      </w:r>
      <w:r w:rsidR="00EB2EFA">
        <w:rPr>
          <w:rFonts w:ascii="Times New Roman" w:eastAsia="Calibri" w:hAnsi="Times New Roman" w:cs="Calibri"/>
          <w:sz w:val="24"/>
          <w:szCs w:val="24"/>
          <w:shd w:val="clear" w:color="auto" w:fill="FFFFFF"/>
          <w:lang w:eastAsia="ar-SA"/>
        </w:rPr>
        <w:t>,0</w:t>
      </w:r>
      <w:r w:rsidRPr="00491D30">
        <w:rPr>
          <w:rFonts w:ascii="Times New Roman" w:eastAsia="Calibri" w:hAnsi="Times New Roman" w:cs="Calibri"/>
          <w:sz w:val="24"/>
          <w:szCs w:val="24"/>
          <w:shd w:val="clear" w:color="auto" w:fill="FFFFFF"/>
          <w:lang w:eastAsia="ar-SA"/>
        </w:rPr>
        <w:t>%</w:t>
      </w:r>
      <w:r w:rsidR="00666E10">
        <w:rPr>
          <w:rFonts w:ascii="Times New Roman" w:eastAsia="Calibri" w:hAnsi="Times New Roman" w:cs="Calibri"/>
          <w:sz w:val="24"/>
          <w:szCs w:val="24"/>
          <w:shd w:val="clear" w:color="auto" w:fill="FFFFFF"/>
          <w:lang w:eastAsia="ar-SA"/>
        </w:rPr>
        <w:t xml:space="preserve"> (</w:t>
      </w:r>
      <w:r w:rsidR="00ED301C" w:rsidRPr="00666E10">
        <w:rPr>
          <w:rFonts w:ascii="Times New Roman" w:eastAsia="Calibri" w:hAnsi="Times New Roman" w:cs="Calibri"/>
          <w:sz w:val="24"/>
          <w:szCs w:val="24"/>
          <w:shd w:val="clear" w:color="auto" w:fill="FFFFFF"/>
          <w:lang w:eastAsia="ar-SA"/>
        </w:rPr>
        <w:t>среднегодовой</w:t>
      </w:r>
      <w:r w:rsidR="00666E10">
        <w:rPr>
          <w:rFonts w:ascii="Times New Roman" w:eastAsia="Calibri" w:hAnsi="Times New Roman" w:cs="Calibri"/>
          <w:sz w:val="24"/>
          <w:szCs w:val="24"/>
          <w:shd w:val="clear" w:color="auto" w:fill="FFFFFF"/>
          <w:lang w:eastAsia="ar-SA"/>
        </w:rPr>
        <w:t xml:space="preserve"> на том же уровне)</w:t>
      </w:r>
    </w:p>
    <w:p w:rsidR="008628A8" w:rsidRPr="008628A8"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В соответствии со Сценарными условиями социально-экономического развития Самарской области на 2020 год и плановый период 2021 и 2022 годов индексация регулируемых тарифов сетевых организаций для всех категорий потребителей, исключая население, с 1 июля 2020 года составит 3</w:t>
      </w:r>
      <w:r>
        <w:rPr>
          <w:rFonts w:ascii="Times New Roman" w:hAnsi="Times New Roman"/>
          <w:sz w:val="24"/>
          <w:szCs w:val="24"/>
          <w:lang w:eastAsia="ar-SA"/>
        </w:rPr>
        <w:t>,0</w:t>
      </w:r>
      <w:r w:rsidRPr="008628A8">
        <w:rPr>
          <w:rFonts w:ascii="Times New Roman" w:hAnsi="Times New Roman"/>
          <w:sz w:val="24"/>
          <w:szCs w:val="24"/>
          <w:lang w:eastAsia="ar-SA"/>
        </w:rPr>
        <w:t>%, с 1 июля 2021 года – 3</w:t>
      </w:r>
      <w:r>
        <w:rPr>
          <w:rFonts w:ascii="Times New Roman" w:hAnsi="Times New Roman"/>
          <w:sz w:val="24"/>
          <w:szCs w:val="24"/>
          <w:lang w:eastAsia="ar-SA"/>
        </w:rPr>
        <w:t>,0</w:t>
      </w:r>
      <w:r w:rsidRPr="008628A8">
        <w:rPr>
          <w:rFonts w:ascii="Times New Roman" w:hAnsi="Times New Roman"/>
          <w:sz w:val="24"/>
          <w:szCs w:val="24"/>
          <w:lang w:eastAsia="ar-SA"/>
        </w:rPr>
        <w:t>%, с 1 июля 2022 года – 3</w:t>
      </w:r>
      <w:r>
        <w:rPr>
          <w:rFonts w:ascii="Times New Roman" w:hAnsi="Times New Roman"/>
          <w:sz w:val="24"/>
          <w:szCs w:val="24"/>
          <w:lang w:eastAsia="ar-SA"/>
        </w:rPr>
        <w:t>,0</w:t>
      </w:r>
      <w:r w:rsidRPr="008628A8">
        <w:rPr>
          <w:rFonts w:ascii="Times New Roman" w:hAnsi="Times New Roman"/>
          <w:sz w:val="24"/>
          <w:szCs w:val="24"/>
          <w:lang w:eastAsia="ar-SA"/>
        </w:rPr>
        <w:t>%. Дополнительный рост на регулируемые тарифы сетевых организаций может оказать инвестиционная составляющая.</w:t>
      </w:r>
    </w:p>
    <w:p w:rsidR="008628A8" w:rsidRPr="008628A8"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Индексация тарифов на электрическую энергию для населения с 1 июля 2020 года составит 5</w:t>
      </w:r>
      <w:r>
        <w:rPr>
          <w:rFonts w:ascii="Times New Roman" w:hAnsi="Times New Roman"/>
          <w:sz w:val="24"/>
          <w:szCs w:val="24"/>
          <w:lang w:eastAsia="ar-SA"/>
        </w:rPr>
        <w:t>,0</w:t>
      </w:r>
      <w:r w:rsidRPr="008628A8">
        <w:rPr>
          <w:rFonts w:ascii="Times New Roman" w:hAnsi="Times New Roman"/>
          <w:sz w:val="24"/>
          <w:szCs w:val="24"/>
          <w:lang w:eastAsia="ar-SA"/>
        </w:rPr>
        <w:t>%, с 1 июля 2021 года – 5</w:t>
      </w:r>
      <w:r>
        <w:rPr>
          <w:rFonts w:ascii="Times New Roman" w:hAnsi="Times New Roman"/>
          <w:sz w:val="24"/>
          <w:szCs w:val="24"/>
          <w:lang w:eastAsia="ar-SA"/>
        </w:rPr>
        <w:t>,0</w:t>
      </w:r>
      <w:r w:rsidRPr="008628A8">
        <w:rPr>
          <w:rFonts w:ascii="Times New Roman" w:hAnsi="Times New Roman"/>
          <w:sz w:val="24"/>
          <w:szCs w:val="24"/>
          <w:lang w:eastAsia="ar-SA"/>
        </w:rPr>
        <w:t>%, с 1 июля 2022 года – 5</w:t>
      </w:r>
      <w:r>
        <w:rPr>
          <w:rFonts w:ascii="Times New Roman" w:hAnsi="Times New Roman"/>
          <w:sz w:val="24"/>
          <w:szCs w:val="24"/>
          <w:lang w:eastAsia="ar-SA"/>
        </w:rPr>
        <w:t>,0</w:t>
      </w:r>
      <w:r w:rsidRPr="008628A8">
        <w:rPr>
          <w:rFonts w:ascii="Times New Roman" w:hAnsi="Times New Roman"/>
          <w:sz w:val="24"/>
          <w:szCs w:val="24"/>
          <w:lang w:eastAsia="ar-SA"/>
        </w:rPr>
        <w:t>%. Однако, учитывая методику расчета тарифов на электрическую энергию для населения, рост тарифов, дифференцированных по зонам суток, может превышать указанные значения.</w:t>
      </w:r>
    </w:p>
    <w:p w:rsidR="008628A8" w:rsidRPr="008628A8"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Рост тарифов на тепловую энергию по регулируемым периодам составит с 1 июля 2020 года – 4</w:t>
      </w:r>
      <w:r>
        <w:rPr>
          <w:rFonts w:ascii="Times New Roman" w:hAnsi="Times New Roman"/>
          <w:sz w:val="24"/>
          <w:szCs w:val="24"/>
          <w:lang w:eastAsia="ar-SA"/>
        </w:rPr>
        <w:t>,0</w:t>
      </w:r>
      <w:r w:rsidRPr="008628A8">
        <w:rPr>
          <w:rFonts w:ascii="Times New Roman" w:hAnsi="Times New Roman"/>
          <w:sz w:val="24"/>
          <w:szCs w:val="24"/>
          <w:lang w:eastAsia="ar-SA"/>
        </w:rPr>
        <w:t>%, с 1 июля 2021 года – 4</w:t>
      </w:r>
      <w:r>
        <w:rPr>
          <w:rFonts w:ascii="Times New Roman" w:hAnsi="Times New Roman"/>
          <w:sz w:val="24"/>
          <w:szCs w:val="24"/>
          <w:lang w:eastAsia="ar-SA"/>
        </w:rPr>
        <w:t>,0</w:t>
      </w:r>
      <w:r w:rsidRPr="008628A8">
        <w:rPr>
          <w:rFonts w:ascii="Times New Roman" w:hAnsi="Times New Roman"/>
          <w:sz w:val="24"/>
          <w:szCs w:val="24"/>
          <w:lang w:eastAsia="ar-SA"/>
        </w:rPr>
        <w:t>%, с 1 июля 2022 года – 4</w:t>
      </w:r>
      <w:r>
        <w:rPr>
          <w:rFonts w:ascii="Times New Roman" w:hAnsi="Times New Roman"/>
          <w:sz w:val="24"/>
          <w:szCs w:val="24"/>
          <w:lang w:eastAsia="ar-SA"/>
        </w:rPr>
        <w:t>,0</w:t>
      </w:r>
      <w:r w:rsidRPr="008628A8">
        <w:rPr>
          <w:rFonts w:ascii="Times New Roman" w:hAnsi="Times New Roman"/>
          <w:sz w:val="24"/>
          <w:szCs w:val="24"/>
          <w:lang w:eastAsia="ar-SA"/>
        </w:rPr>
        <w:t>%. Дополнительными факторами сверхпрогнозного роста могут послужить переход к ценовым зонам теплоснабжения, необходимость учета инвестиционных программ теплоснабжающих организаций.</w:t>
      </w:r>
    </w:p>
    <w:p w:rsidR="008628A8" w:rsidRPr="008628A8"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Рост розничных цен на природный газ для населения составит с 1 июля 2020 года – 3</w:t>
      </w:r>
      <w:r>
        <w:rPr>
          <w:rFonts w:ascii="Times New Roman" w:hAnsi="Times New Roman"/>
          <w:sz w:val="24"/>
          <w:szCs w:val="24"/>
          <w:lang w:eastAsia="ar-SA"/>
        </w:rPr>
        <w:t>,0</w:t>
      </w:r>
      <w:r w:rsidRPr="008628A8">
        <w:rPr>
          <w:rFonts w:ascii="Times New Roman" w:hAnsi="Times New Roman"/>
          <w:sz w:val="24"/>
          <w:szCs w:val="24"/>
          <w:lang w:eastAsia="ar-SA"/>
        </w:rPr>
        <w:t>%, с 1 июля 2021 года – 3</w:t>
      </w:r>
      <w:r>
        <w:rPr>
          <w:rFonts w:ascii="Times New Roman" w:hAnsi="Times New Roman"/>
          <w:sz w:val="24"/>
          <w:szCs w:val="24"/>
          <w:lang w:eastAsia="ar-SA"/>
        </w:rPr>
        <w:t>,0</w:t>
      </w:r>
      <w:r w:rsidRPr="008628A8">
        <w:rPr>
          <w:rFonts w:ascii="Times New Roman" w:hAnsi="Times New Roman"/>
          <w:sz w:val="24"/>
          <w:szCs w:val="24"/>
          <w:lang w:eastAsia="ar-SA"/>
        </w:rPr>
        <w:t>%, с 1 июля 2022 года – 3</w:t>
      </w:r>
      <w:r>
        <w:rPr>
          <w:rFonts w:ascii="Times New Roman" w:hAnsi="Times New Roman"/>
          <w:sz w:val="24"/>
          <w:szCs w:val="24"/>
          <w:lang w:eastAsia="ar-SA"/>
        </w:rPr>
        <w:t>,0</w:t>
      </w:r>
      <w:r w:rsidRPr="008628A8">
        <w:rPr>
          <w:rFonts w:ascii="Times New Roman" w:hAnsi="Times New Roman"/>
          <w:sz w:val="24"/>
          <w:szCs w:val="24"/>
          <w:lang w:eastAsia="ar-SA"/>
        </w:rPr>
        <w:t>%.</w:t>
      </w:r>
    </w:p>
    <w:p w:rsidR="008628A8" w:rsidRPr="008628A8"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Рост розничных цен на природный газ для всех категорий потребителей, исключая население составит с 1 июля 2020 года – 3</w:t>
      </w:r>
      <w:r>
        <w:rPr>
          <w:rFonts w:ascii="Times New Roman" w:hAnsi="Times New Roman"/>
          <w:sz w:val="24"/>
          <w:szCs w:val="24"/>
          <w:lang w:eastAsia="ar-SA"/>
        </w:rPr>
        <w:t>,0</w:t>
      </w:r>
      <w:r w:rsidRPr="008628A8">
        <w:rPr>
          <w:rFonts w:ascii="Times New Roman" w:hAnsi="Times New Roman"/>
          <w:sz w:val="24"/>
          <w:szCs w:val="24"/>
          <w:lang w:eastAsia="ar-SA"/>
        </w:rPr>
        <w:t>%, с 1 июля 2021 года – 3</w:t>
      </w:r>
      <w:r>
        <w:rPr>
          <w:rFonts w:ascii="Times New Roman" w:hAnsi="Times New Roman"/>
          <w:sz w:val="24"/>
          <w:szCs w:val="24"/>
          <w:lang w:eastAsia="ar-SA"/>
        </w:rPr>
        <w:t>,0</w:t>
      </w:r>
      <w:r w:rsidRPr="008628A8">
        <w:rPr>
          <w:rFonts w:ascii="Times New Roman" w:hAnsi="Times New Roman"/>
          <w:sz w:val="24"/>
          <w:szCs w:val="24"/>
          <w:lang w:eastAsia="ar-SA"/>
        </w:rPr>
        <w:t>%, с 1 июля 2022 года – 3</w:t>
      </w:r>
      <w:r>
        <w:rPr>
          <w:rFonts w:ascii="Times New Roman" w:hAnsi="Times New Roman"/>
          <w:sz w:val="24"/>
          <w:szCs w:val="24"/>
          <w:lang w:eastAsia="ar-SA"/>
        </w:rPr>
        <w:t>,0</w:t>
      </w:r>
      <w:r w:rsidRPr="008628A8">
        <w:rPr>
          <w:rFonts w:ascii="Times New Roman" w:hAnsi="Times New Roman"/>
          <w:sz w:val="24"/>
          <w:szCs w:val="24"/>
          <w:lang w:eastAsia="ar-SA"/>
        </w:rPr>
        <w:t>%. Однако, учитывая сверхпрогнозные изменения долгосрочных тарифов на транспортировку газа, а также сохранение убыточности реализации природного газа населению, рост цен по отдельным направлениям его потребления может превышать указанные значения.</w:t>
      </w:r>
    </w:p>
    <w:p w:rsidR="008628A8" w:rsidRPr="008628A8"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Рост тарифов в сферах водоснабжения, водоотведения и обращения с твердыми коммунальными отходами по регулируемым периодам ориентировочно составит с 1 июля 2020 года – 4</w:t>
      </w:r>
      <w:r>
        <w:rPr>
          <w:rFonts w:ascii="Times New Roman" w:hAnsi="Times New Roman"/>
          <w:sz w:val="24"/>
          <w:szCs w:val="24"/>
          <w:lang w:eastAsia="ar-SA"/>
        </w:rPr>
        <w:t>,0</w:t>
      </w:r>
      <w:r w:rsidRPr="008628A8">
        <w:rPr>
          <w:rFonts w:ascii="Times New Roman" w:hAnsi="Times New Roman"/>
          <w:sz w:val="24"/>
          <w:szCs w:val="24"/>
          <w:lang w:eastAsia="ar-SA"/>
        </w:rPr>
        <w:t>%, с 1 июля 2021 года – 4</w:t>
      </w:r>
      <w:r>
        <w:rPr>
          <w:rFonts w:ascii="Times New Roman" w:hAnsi="Times New Roman"/>
          <w:sz w:val="24"/>
          <w:szCs w:val="24"/>
          <w:lang w:eastAsia="ar-SA"/>
        </w:rPr>
        <w:t>,0</w:t>
      </w:r>
      <w:r w:rsidRPr="008628A8">
        <w:rPr>
          <w:rFonts w:ascii="Times New Roman" w:hAnsi="Times New Roman"/>
          <w:sz w:val="24"/>
          <w:szCs w:val="24"/>
          <w:lang w:eastAsia="ar-SA"/>
        </w:rPr>
        <w:t>%, с 1 июля 2022 года – 4</w:t>
      </w:r>
      <w:r>
        <w:rPr>
          <w:rFonts w:ascii="Times New Roman" w:hAnsi="Times New Roman"/>
          <w:sz w:val="24"/>
          <w:szCs w:val="24"/>
          <w:lang w:eastAsia="ar-SA"/>
        </w:rPr>
        <w:t>,0</w:t>
      </w:r>
      <w:r w:rsidRPr="008628A8">
        <w:rPr>
          <w:rFonts w:ascii="Times New Roman" w:hAnsi="Times New Roman"/>
          <w:sz w:val="24"/>
          <w:szCs w:val="24"/>
          <w:lang w:eastAsia="ar-SA"/>
        </w:rPr>
        <w:t xml:space="preserve">%. Дополнительными </w:t>
      </w:r>
      <w:r w:rsidRPr="008628A8">
        <w:rPr>
          <w:rFonts w:ascii="Times New Roman" w:hAnsi="Times New Roman"/>
          <w:sz w:val="24"/>
          <w:szCs w:val="24"/>
          <w:lang w:eastAsia="ar-SA"/>
        </w:rPr>
        <w:lastRenderedPageBreak/>
        <w:t>факторами сверхпрогнозного роста может послужить необходимость учета инвестиционных программ.</w:t>
      </w:r>
    </w:p>
    <w:p w:rsidR="00C20FD0" w:rsidRDefault="008628A8" w:rsidP="008628A8">
      <w:pPr>
        <w:spacing w:after="0"/>
        <w:ind w:firstLine="709"/>
        <w:jc w:val="both"/>
        <w:rPr>
          <w:rFonts w:ascii="Times New Roman" w:hAnsi="Times New Roman"/>
          <w:sz w:val="24"/>
          <w:szCs w:val="24"/>
          <w:lang w:eastAsia="ar-SA"/>
        </w:rPr>
      </w:pPr>
      <w:r w:rsidRPr="008628A8">
        <w:rPr>
          <w:rFonts w:ascii="Times New Roman" w:hAnsi="Times New Roman"/>
          <w:sz w:val="24"/>
          <w:szCs w:val="24"/>
          <w:lang w:eastAsia="ar-SA"/>
        </w:rPr>
        <w:t>Индексация совокупного платежа граждан за коммунальные услуги (размеры индексации) в 2020 – 2022 годах составит 4</w:t>
      </w:r>
      <w:r>
        <w:rPr>
          <w:rFonts w:ascii="Times New Roman" w:hAnsi="Times New Roman"/>
          <w:sz w:val="24"/>
          <w:szCs w:val="24"/>
          <w:lang w:eastAsia="ar-SA"/>
        </w:rPr>
        <w:t>,0</w:t>
      </w:r>
      <w:r w:rsidRPr="008628A8">
        <w:rPr>
          <w:rFonts w:ascii="Times New Roman" w:hAnsi="Times New Roman"/>
          <w:sz w:val="24"/>
          <w:szCs w:val="24"/>
          <w:lang w:eastAsia="ar-SA"/>
        </w:rPr>
        <w:t>% ежегодно. Вместе с тем распоряжением Правительства Российской Федерации от 15.11.2018 № 2490-р для Самарской области утверждено предельно допустимое отклонение индекса изменения вносимой гражданами платы за коммунальные услуги в размере 2</w:t>
      </w:r>
      <w:r>
        <w:rPr>
          <w:rFonts w:ascii="Times New Roman" w:hAnsi="Times New Roman"/>
          <w:sz w:val="24"/>
          <w:szCs w:val="24"/>
          <w:lang w:eastAsia="ar-SA"/>
        </w:rPr>
        <w:t>,0</w:t>
      </w:r>
      <w:r w:rsidRPr="008628A8">
        <w:rPr>
          <w:rFonts w:ascii="Times New Roman" w:hAnsi="Times New Roman"/>
          <w:sz w:val="24"/>
          <w:szCs w:val="24"/>
          <w:lang w:eastAsia="ar-SA"/>
        </w:rPr>
        <w:t>%.</w:t>
      </w:r>
      <w:r>
        <w:rPr>
          <w:rFonts w:ascii="Times New Roman" w:hAnsi="Times New Roman"/>
          <w:sz w:val="24"/>
          <w:szCs w:val="24"/>
          <w:lang w:eastAsia="ar-SA"/>
        </w:rPr>
        <w:t xml:space="preserve"> </w:t>
      </w:r>
    </w:p>
    <w:p w:rsidR="001F07A4" w:rsidRPr="001F07A4" w:rsidRDefault="001F07A4" w:rsidP="008628A8">
      <w:pPr>
        <w:spacing w:after="0"/>
        <w:ind w:firstLine="709"/>
        <w:jc w:val="both"/>
        <w:rPr>
          <w:rFonts w:ascii="Times New Roman" w:hAnsi="Times New Roman"/>
          <w:b/>
          <w:sz w:val="24"/>
          <w:szCs w:val="24"/>
        </w:rPr>
      </w:pPr>
      <w:bookmarkStart w:id="1" w:name="_GoBack"/>
      <w:bookmarkEnd w:id="1"/>
      <w:r w:rsidRPr="001F07A4">
        <w:rPr>
          <w:rFonts w:ascii="Times New Roman" w:hAnsi="Times New Roman"/>
          <w:sz w:val="24"/>
          <w:szCs w:val="24"/>
        </w:rPr>
        <w:t>Величина тарифа на проезд пассажиров в муниципальном транспорте будет определяться с учетом оптимизации деятельности муниципальных предприятий, показателей бюджета городского округа Тольятти и анализа изменения пассажиропотока.</w:t>
      </w:r>
    </w:p>
    <w:p w:rsidR="001F07A4" w:rsidRPr="001F07A4" w:rsidRDefault="001F07A4" w:rsidP="001F07A4">
      <w:pPr>
        <w:suppressAutoHyphens/>
        <w:spacing w:after="0" w:line="240" w:lineRule="auto"/>
        <w:jc w:val="both"/>
        <w:outlineLvl w:val="0"/>
        <w:rPr>
          <w:rFonts w:ascii="Times New Roman" w:hAnsi="Times New Roman"/>
          <w:sz w:val="24"/>
          <w:szCs w:val="24"/>
          <w:lang w:eastAsia="zh-CN"/>
        </w:rPr>
      </w:pPr>
      <w:r w:rsidRPr="001F07A4">
        <w:rPr>
          <w:rFonts w:ascii="Times New Roman" w:hAnsi="Times New Roman"/>
          <w:sz w:val="24"/>
          <w:szCs w:val="24"/>
          <w:lang w:eastAsia="zh-CN"/>
        </w:rPr>
        <w:t xml:space="preserve">                  </w:t>
      </w:r>
    </w:p>
    <w:p w:rsidR="003D3198" w:rsidRPr="00730526" w:rsidRDefault="003D3198" w:rsidP="005E7F5D">
      <w:pPr>
        <w:pStyle w:val="1"/>
        <w:spacing w:line="276" w:lineRule="auto"/>
        <w:ind w:right="-1"/>
        <w:jc w:val="center"/>
        <w:rPr>
          <w:rFonts w:ascii="Times New Roman" w:hAnsi="Times New Roman"/>
          <w:b/>
          <w:sz w:val="24"/>
          <w:szCs w:val="24"/>
        </w:rPr>
      </w:pPr>
      <w:r w:rsidRPr="00730526">
        <w:rPr>
          <w:rFonts w:ascii="Times New Roman" w:hAnsi="Times New Roman"/>
          <w:b/>
          <w:sz w:val="24"/>
          <w:szCs w:val="24"/>
        </w:rPr>
        <w:t xml:space="preserve">Промышленное производство </w:t>
      </w:r>
      <w:bookmarkStart w:id="2" w:name="промышл"/>
      <w:bookmarkEnd w:id="2"/>
      <w:r w:rsidRPr="00730526">
        <w:rPr>
          <w:rFonts w:ascii="Times New Roman" w:hAnsi="Times New Roman"/>
          <w:b/>
          <w:sz w:val="24"/>
          <w:szCs w:val="24"/>
        </w:rPr>
        <w:t xml:space="preserve">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3D3198" w:rsidRPr="0096463D" w:rsidRDefault="003D3198" w:rsidP="004272BD">
      <w:pPr>
        <w:pStyle w:val="1"/>
        <w:spacing w:line="276" w:lineRule="auto"/>
        <w:ind w:right="-1" w:firstLine="709"/>
        <w:jc w:val="both"/>
        <w:rPr>
          <w:rFonts w:ascii="Times New Roman" w:hAnsi="Times New Roman"/>
          <w:b/>
          <w:sz w:val="24"/>
          <w:szCs w:val="24"/>
          <w:highlight w:val="yellow"/>
        </w:rPr>
      </w:pPr>
    </w:p>
    <w:p w:rsidR="005E379A" w:rsidRPr="00DE08B9" w:rsidRDefault="005E379A" w:rsidP="005E7F5D">
      <w:pPr>
        <w:pStyle w:val="1"/>
        <w:spacing w:line="276" w:lineRule="auto"/>
        <w:ind w:right="-1" w:firstLine="709"/>
        <w:jc w:val="both"/>
        <w:rPr>
          <w:rFonts w:ascii="Times New Roman" w:hAnsi="Times New Roman"/>
          <w:sz w:val="24"/>
          <w:szCs w:val="24"/>
          <w:lang w:eastAsia="ru-RU"/>
        </w:rPr>
      </w:pPr>
      <w:r w:rsidRPr="00DE08B9">
        <w:rPr>
          <w:rFonts w:ascii="Times New Roman" w:hAnsi="Times New Roman"/>
          <w:sz w:val="24"/>
          <w:szCs w:val="24"/>
          <w:lang w:eastAsia="ru-RU"/>
        </w:rPr>
        <w:t xml:space="preserve">Прогноз развития промышленного комплекса городского округа Тольятти формируется на основании фактических данных органов статистики, собственных прогнозов крупных </w:t>
      </w:r>
      <w:r w:rsidR="000A4AC7" w:rsidRPr="00DE08B9">
        <w:rPr>
          <w:rFonts w:ascii="Times New Roman" w:hAnsi="Times New Roman"/>
          <w:sz w:val="24"/>
          <w:szCs w:val="24"/>
          <w:lang w:eastAsia="ru-RU"/>
        </w:rPr>
        <w:t xml:space="preserve">промышленных </w:t>
      </w:r>
      <w:r w:rsidRPr="00DE08B9">
        <w:rPr>
          <w:rFonts w:ascii="Times New Roman" w:hAnsi="Times New Roman"/>
          <w:sz w:val="24"/>
          <w:szCs w:val="24"/>
          <w:lang w:eastAsia="ru-RU"/>
        </w:rPr>
        <w:t>предприятий города, а также с учетом тенденций развития промышленного производства в городском округе Тольятти и региона в целом.</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Определяющими факторами развития промышленного комплекса городского округа </w:t>
      </w:r>
      <w:r w:rsidR="005615F0">
        <w:rPr>
          <w:rFonts w:ascii="Times New Roman" w:hAnsi="Times New Roman" w:cs="Times New Roman"/>
          <w:sz w:val="24"/>
          <w:szCs w:val="24"/>
          <w:lang w:eastAsia="ru-RU"/>
        </w:rPr>
        <w:t xml:space="preserve">Тольятти </w:t>
      </w:r>
      <w:r w:rsidRPr="003F5875">
        <w:rPr>
          <w:rFonts w:ascii="Times New Roman" w:hAnsi="Times New Roman" w:cs="Times New Roman"/>
          <w:sz w:val="24"/>
          <w:szCs w:val="24"/>
          <w:lang w:eastAsia="ru-RU"/>
        </w:rPr>
        <w:t>по консервативному варианту прогноза станут: риски снижения конкурентоспособности продукции ключевых кластеров, нехватка финансовых ресурсов, направляемых на инвестирование, возможные негативные колебания на рынке сырья, невысокий уровень платежеспособности населения, сокращение объемов государственной поддержки отечественных производителей.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Недостаточная эффективность задействованных внутренних факторов не позволит достичь высоких темпов экономического роста.</w:t>
      </w:r>
    </w:p>
    <w:p w:rsid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В случае реализации консервативного варианта прогноза индекс промышленного производства относительно предыдущего года составит: в 2020 году – 100,</w:t>
      </w:r>
      <w:r w:rsidR="00DE08B9">
        <w:rPr>
          <w:rFonts w:ascii="Times New Roman" w:hAnsi="Times New Roman" w:cs="Times New Roman"/>
          <w:sz w:val="24"/>
          <w:szCs w:val="24"/>
          <w:lang w:eastAsia="ru-RU"/>
        </w:rPr>
        <w:t>2</w:t>
      </w:r>
      <w:r w:rsidRPr="003F5875">
        <w:rPr>
          <w:rFonts w:ascii="Times New Roman" w:hAnsi="Times New Roman" w:cs="Times New Roman"/>
          <w:sz w:val="24"/>
          <w:szCs w:val="24"/>
          <w:lang w:eastAsia="ru-RU"/>
        </w:rPr>
        <w:t xml:space="preserve">%, в 2021 году – </w:t>
      </w:r>
      <w:r w:rsidR="00DE08B9">
        <w:rPr>
          <w:rFonts w:ascii="Times New Roman" w:hAnsi="Times New Roman" w:cs="Times New Roman"/>
          <w:sz w:val="24"/>
          <w:szCs w:val="24"/>
          <w:lang w:eastAsia="ru-RU"/>
        </w:rPr>
        <w:t>101,0</w:t>
      </w:r>
      <w:r w:rsidRPr="003F5875">
        <w:rPr>
          <w:rFonts w:ascii="Times New Roman" w:hAnsi="Times New Roman" w:cs="Times New Roman"/>
          <w:sz w:val="24"/>
          <w:szCs w:val="24"/>
          <w:lang w:eastAsia="ru-RU"/>
        </w:rPr>
        <w:t xml:space="preserve">%, в 2022 году – </w:t>
      </w:r>
      <w:r w:rsidR="00DE08B9">
        <w:rPr>
          <w:rFonts w:ascii="Times New Roman" w:hAnsi="Times New Roman" w:cs="Times New Roman"/>
          <w:sz w:val="24"/>
          <w:szCs w:val="24"/>
          <w:lang w:eastAsia="ru-RU"/>
        </w:rPr>
        <w:t>101,0</w:t>
      </w:r>
      <w:r w:rsidRPr="003F5875">
        <w:rPr>
          <w:rFonts w:ascii="Times New Roman" w:hAnsi="Times New Roman" w:cs="Times New Roman"/>
          <w:sz w:val="24"/>
          <w:szCs w:val="24"/>
          <w:lang w:eastAsia="ru-RU"/>
        </w:rPr>
        <w:t xml:space="preserve">%.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Развитие промышленности городского округа Тольятти по базовому варианту прогноза будет определяться перспективами развития ключевых кластеров, локализованных на территории городского округа Тольятти (химического и автомобилестроительного), а также федеральной поддержкой организаций промышленности по линии Фонда развития промышленности, деятельность которого направлена на развитие импортозамещающих производств и модернизацию российской промышленности, запуском новых производств, расширение продуктового портфеля за счет выпуска товаров с высоким уровнем качества, повышение производительности труда, развитием индустриальных парков, </w:t>
      </w:r>
      <w:r w:rsidR="00DE08B9">
        <w:rPr>
          <w:rFonts w:ascii="Times New Roman" w:hAnsi="Times New Roman" w:cs="Times New Roman"/>
          <w:sz w:val="24"/>
          <w:szCs w:val="24"/>
          <w:lang w:eastAsia="ru-RU"/>
        </w:rPr>
        <w:t xml:space="preserve">а также </w:t>
      </w:r>
      <w:r w:rsidR="0053652E">
        <w:rPr>
          <w:rFonts w:ascii="Times New Roman" w:hAnsi="Times New Roman" w:cs="Times New Roman"/>
          <w:sz w:val="24"/>
          <w:szCs w:val="24"/>
          <w:lang w:eastAsia="ru-RU"/>
        </w:rPr>
        <w:t xml:space="preserve">развитие </w:t>
      </w:r>
      <w:r w:rsidR="00DE08B9">
        <w:rPr>
          <w:rFonts w:ascii="Times New Roman" w:hAnsi="Times New Roman" w:cs="Times New Roman"/>
          <w:sz w:val="24"/>
          <w:szCs w:val="24"/>
          <w:lang w:eastAsia="ru-RU"/>
        </w:rPr>
        <w:t xml:space="preserve">города как </w:t>
      </w:r>
      <w:r w:rsidRPr="003F5875">
        <w:rPr>
          <w:rFonts w:ascii="Times New Roman" w:hAnsi="Times New Roman" w:cs="Times New Roman"/>
          <w:sz w:val="24"/>
          <w:szCs w:val="24"/>
          <w:lang w:eastAsia="ru-RU"/>
        </w:rPr>
        <w:t>территори</w:t>
      </w:r>
      <w:r w:rsidR="00DE08B9">
        <w:rPr>
          <w:rFonts w:ascii="Times New Roman" w:hAnsi="Times New Roman" w:cs="Times New Roman"/>
          <w:sz w:val="24"/>
          <w:szCs w:val="24"/>
          <w:lang w:eastAsia="ru-RU"/>
        </w:rPr>
        <w:t>и</w:t>
      </w:r>
      <w:r w:rsidRPr="003F5875">
        <w:rPr>
          <w:rFonts w:ascii="Times New Roman" w:hAnsi="Times New Roman" w:cs="Times New Roman"/>
          <w:sz w:val="24"/>
          <w:szCs w:val="24"/>
          <w:lang w:eastAsia="ru-RU"/>
        </w:rPr>
        <w:t xml:space="preserve"> опережающего социально-экономического развития </w:t>
      </w:r>
      <w:r w:rsidR="00DE08B9">
        <w:rPr>
          <w:rFonts w:ascii="Times New Roman" w:hAnsi="Times New Roman" w:cs="Times New Roman"/>
          <w:sz w:val="24"/>
          <w:szCs w:val="24"/>
          <w:lang w:eastAsia="ru-RU"/>
        </w:rPr>
        <w:t xml:space="preserve">(далее по разделу – ТОСЭР </w:t>
      </w:r>
      <w:r w:rsidRPr="003F5875">
        <w:rPr>
          <w:rFonts w:ascii="Times New Roman" w:hAnsi="Times New Roman" w:cs="Times New Roman"/>
          <w:sz w:val="24"/>
          <w:szCs w:val="24"/>
          <w:lang w:eastAsia="ru-RU"/>
        </w:rPr>
        <w:t>«Тольятти»</w:t>
      </w:r>
      <w:r w:rsidR="00DE08B9">
        <w:rPr>
          <w:rFonts w:ascii="Times New Roman" w:hAnsi="Times New Roman" w:cs="Times New Roman"/>
          <w:sz w:val="24"/>
          <w:szCs w:val="24"/>
          <w:lang w:eastAsia="ru-RU"/>
        </w:rPr>
        <w:t>)</w:t>
      </w:r>
      <w:r w:rsidRPr="003F5875">
        <w:rPr>
          <w:rFonts w:ascii="Times New Roman" w:hAnsi="Times New Roman" w:cs="Times New Roman"/>
          <w:sz w:val="24"/>
          <w:szCs w:val="24"/>
          <w:lang w:eastAsia="ru-RU"/>
        </w:rPr>
        <w:t>.</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Индекс производства относительно предыдущего года по базовому варианту будет расти умеренными темпами и составит:  в 2020 году -  </w:t>
      </w:r>
      <w:r w:rsidR="00DE08B9">
        <w:rPr>
          <w:rFonts w:ascii="Times New Roman" w:hAnsi="Times New Roman" w:cs="Times New Roman"/>
          <w:sz w:val="24"/>
          <w:szCs w:val="24"/>
          <w:lang w:eastAsia="ru-RU"/>
        </w:rPr>
        <w:t>103,8</w:t>
      </w:r>
      <w:r w:rsidRPr="003F5875">
        <w:rPr>
          <w:rFonts w:ascii="Times New Roman" w:hAnsi="Times New Roman" w:cs="Times New Roman"/>
          <w:sz w:val="24"/>
          <w:szCs w:val="24"/>
          <w:lang w:eastAsia="ru-RU"/>
        </w:rPr>
        <w:t>%, в 202</w:t>
      </w:r>
      <w:r w:rsidR="00DE08B9">
        <w:rPr>
          <w:rFonts w:ascii="Times New Roman" w:hAnsi="Times New Roman" w:cs="Times New Roman"/>
          <w:sz w:val="24"/>
          <w:szCs w:val="24"/>
          <w:lang w:eastAsia="ru-RU"/>
        </w:rPr>
        <w:t>1</w:t>
      </w:r>
      <w:r w:rsidRPr="003F5875">
        <w:rPr>
          <w:rFonts w:ascii="Times New Roman" w:hAnsi="Times New Roman" w:cs="Times New Roman"/>
          <w:sz w:val="24"/>
          <w:szCs w:val="24"/>
          <w:lang w:eastAsia="ru-RU"/>
        </w:rPr>
        <w:t xml:space="preserve"> году – </w:t>
      </w:r>
      <w:r w:rsidR="00DE08B9">
        <w:rPr>
          <w:rFonts w:ascii="Times New Roman" w:hAnsi="Times New Roman" w:cs="Times New Roman"/>
          <w:sz w:val="24"/>
          <w:szCs w:val="24"/>
          <w:lang w:eastAsia="ru-RU"/>
        </w:rPr>
        <w:t>1</w:t>
      </w:r>
      <w:r w:rsidR="007534B5">
        <w:rPr>
          <w:rFonts w:ascii="Times New Roman" w:hAnsi="Times New Roman" w:cs="Times New Roman"/>
          <w:sz w:val="24"/>
          <w:szCs w:val="24"/>
          <w:lang w:eastAsia="ru-RU"/>
        </w:rPr>
        <w:t>0</w:t>
      </w:r>
      <w:r w:rsidR="00DE08B9">
        <w:rPr>
          <w:rFonts w:ascii="Times New Roman" w:hAnsi="Times New Roman" w:cs="Times New Roman"/>
          <w:sz w:val="24"/>
          <w:szCs w:val="24"/>
          <w:lang w:eastAsia="ru-RU"/>
        </w:rPr>
        <w:t>4,5</w:t>
      </w:r>
      <w:r w:rsidRPr="003F5875">
        <w:rPr>
          <w:rFonts w:ascii="Times New Roman" w:hAnsi="Times New Roman" w:cs="Times New Roman"/>
          <w:sz w:val="24"/>
          <w:szCs w:val="24"/>
          <w:lang w:eastAsia="ru-RU"/>
        </w:rPr>
        <w:t>%, в 202</w:t>
      </w:r>
      <w:r w:rsidR="00DE08B9">
        <w:rPr>
          <w:rFonts w:ascii="Times New Roman" w:hAnsi="Times New Roman" w:cs="Times New Roman"/>
          <w:sz w:val="24"/>
          <w:szCs w:val="24"/>
          <w:lang w:eastAsia="ru-RU"/>
        </w:rPr>
        <w:t>2</w:t>
      </w:r>
      <w:r w:rsidRPr="003F5875">
        <w:rPr>
          <w:rFonts w:ascii="Times New Roman" w:hAnsi="Times New Roman" w:cs="Times New Roman"/>
          <w:sz w:val="24"/>
          <w:szCs w:val="24"/>
          <w:lang w:eastAsia="ru-RU"/>
        </w:rPr>
        <w:t xml:space="preserve"> году – </w:t>
      </w:r>
      <w:r w:rsidR="00DE08B9">
        <w:rPr>
          <w:rFonts w:ascii="Times New Roman" w:hAnsi="Times New Roman" w:cs="Times New Roman"/>
          <w:sz w:val="24"/>
          <w:szCs w:val="24"/>
          <w:lang w:eastAsia="ru-RU"/>
        </w:rPr>
        <w:t>105,0</w:t>
      </w:r>
      <w:r w:rsidRPr="003F5875">
        <w:rPr>
          <w:rFonts w:ascii="Times New Roman" w:hAnsi="Times New Roman" w:cs="Times New Roman"/>
          <w:sz w:val="24"/>
          <w:szCs w:val="24"/>
          <w:lang w:eastAsia="ru-RU"/>
        </w:rPr>
        <w:t xml:space="preserve">%.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lastRenderedPageBreak/>
        <w:t xml:space="preserve">Объем отгруженной промышленной продукции  в 2020 – 2022 годах также будет расти и составит: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 в 2020 году - по консервативному варианту – </w:t>
      </w:r>
      <w:r w:rsidR="00DE08B9">
        <w:rPr>
          <w:rFonts w:ascii="Times New Roman" w:hAnsi="Times New Roman" w:cs="Times New Roman"/>
          <w:sz w:val="24"/>
          <w:szCs w:val="24"/>
          <w:lang w:eastAsia="ru-RU"/>
        </w:rPr>
        <w:t>606 698,3</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 xml:space="preserve">рублей, по базовому варианту прогноза – </w:t>
      </w:r>
      <w:r w:rsidR="00DE08B9">
        <w:rPr>
          <w:rFonts w:ascii="Times New Roman" w:hAnsi="Times New Roman" w:cs="Times New Roman"/>
          <w:sz w:val="24"/>
          <w:szCs w:val="24"/>
          <w:lang w:eastAsia="ru-RU"/>
        </w:rPr>
        <w:t>625 804,1</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рублей;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 в 2021 году - по консервативному варианту – </w:t>
      </w:r>
      <w:r w:rsidR="00DE08B9">
        <w:rPr>
          <w:rFonts w:ascii="Times New Roman" w:hAnsi="Times New Roman" w:cs="Times New Roman"/>
          <w:sz w:val="24"/>
          <w:szCs w:val="24"/>
          <w:lang w:eastAsia="ru-RU"/>
        </w:rPr>
        <w:t>645 301,4</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рублей, по базовому варианту прогноза –</w:t>
      </w:r>
      <w:r w:rsidR="00DE08B9">
        <w:rPr>
          <w:rFonts w:ascii="Times New Roman" w:hAnsi="Times New Roman" w:cs="Times New Roman"/>
          <w:sz w:val="24"/>
          <w:szCs w:val="24"/>
          <w:lang w:eastAsia="ru-RU"/>
        </w:rPr>
        <w:t xml:space="preserve"> 687 125,8</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рублей;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 в 2022 году - по консервативному варианту – </w:t>
      </w:r>
      <w:r w:rsidR="00DE08B9">
        <w:rPr>
          <w:rFonts w:ascii="Times New Roman" w:hAnsi="Times New Roman" w:cs="Times New Roman"/>
          <w:sz w:val="24"/>
          <w:szCs w:val="24"/>
          <w:lang w:eastAsia="ru-RU"/>
        </w:rPr>
        <w:t>686 252,4</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 xml:space="preserve">рублей, по базовому варианту прогноза – </w:t>
      </w:r>
      <w:r w:rsidR="00DE08B9">
        <w:rPr>
          <w:rFonts w:ascii="Times New Roman" w:hAnsi="Times New Roman" w:cs="Times New Roman"/>
          <w:sz w:val="24"/>
          <w:szCs w:val="24"/>
          <w:lang w:eastAsia="ru-RU"/>
        </w:rPr>
        <w:t>758 823,5</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рублей.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Существенный вклад в формирование динамики объемов производства внесет эффективная деятельность основных крупных промышленных предприятий автомобилестроения и химической отрасли.</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На дальнейшее развитие автомобилестроения в прогнозном периоде окажут влияние следующие факторы: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спрос на отечественные автомобили на внутреннем и внешнем рынках;</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 разработка и постановка на конвейер новых моделей и силовых агрегатов АО «АВТОВАЗ» в сотрудничестве с Альянсом Renault-Nissan;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расширение продаж автомобилей производства АО «АВТОВАЗ» за счет экспорта;</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импортозамещение автокомпонентов для производства АО «АВТОВАЗ»;</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меры по стимулированию российского рынка легковых автомобилей.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По виду экономической деятельности «Производство автотранспортных средств, прицепов и полуприцепов» по обоим вариантам прогнозируется рост объемов производства.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Всего по городскому округу Тольятти по консервативному и базовому вариантам прогноза к 2022 году будет произведено легковых автомобилей: </w:t>
      </w:r>
      <w:r w:rsidR="00DE08B9">
        <w:rPr>
          <w:rFonts w:ascii="Times New Roman" w:hAnsi="Times New Roman" w:cs="Times New Roman"/>
          <w:sz w:val="24"/>
          <w:szCs w:val="24"/>
          <w:lang w:eastAsia="ru-RU"/>
        </w:rPr>
        <w:t>413</w:t>
      </w:r>
      <w:r w:rsidRPr="003F5875">
        <w:rPr>
          <w:rFonts w:ascii="Times New Roman" w:hAnsi="Times New Roman" w:cs="Times New Roman"/>
          <w:sz w:val="24"/>
          <w:szCs w:val="24"/>
          <w:lang w:eastAsia="ru-RU"/>
        </w:rPr>
        <w:t xml:space="preserve"> тыс. штук (на 1,5% к 2018 году) и </w:t>
      </w:r>
      <w:r w:rsidR="00DE08B9">
        <w:rPr>
          <w:rFonts w:ascii="Times New Roman" w:hAnsi="Times New Roman" w:cs="Times New Roman"/>
          <w:sz w:val="24"/>
          <w:szCs w:val="24"/>
          <w:lang w:eastAsia="ru-RU"/>
        </w:rPr>
        <w:t>468,</w:t>
      </w:r>
      <w:r w:rsidRPr="003F5875">
        <w:rPr>
          <w:rFonts w:ascii="Times New Roman" w:hAnsi="Times New Roman" w:cs="Times New Roman"/>
          <w:sz w:val="24"/>
          <w:szCs w:val="24"/>
          <w:lang w:eastAsia="ru-RU"/>
        </w:rPr>
        <w:t xml:space="preserve">0 тыс. штук (на </w:t>
      </w:r>
      <w:r w:rsidR="00DE08B9">
        <w:rPr>
          <w:rFonts w:ascii="Times New Roman" w:hAnsi="Times New Roman" w:cs="Times New Roman"/>
          <w:sz w:val="24"/>
          <w:szCs w:val="24"/>
          <w:lang w:eastAsia="ru-RU"/>
        </w:rPr>
        <w:t>15,0</w:t>
      </w:r>
      <w:r w:rsidRPr="003F5875">
        <w:rPr>
          <w:rFonts w:ascii="Times New Roman" w:hAnsi="Times New Roman" w:cs="Times New Roman"/>
          <w:sz w:val="24"/>
          <w:szCs w:val="24"/>
          <w:lang w:eastAsia="ru-RU"/>
        </w:rPr>
        <w:t xml:space="preserve">% к 2018 году) соответственно.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Объем отгруженной продукции автомобильной промышленности к 2022 году достигнет:  по консервативному варианту прогноза – </w:t>
      </w:r>
      <w:r w:rsidR="00DE08B9">
        <w:rPr>
          <w:rFonts w:ascii="Times New Roman" w:hAnsi="Times New Roman" w:cs="Times New Roman"/>
          <w:sz w:val="24"/>
          <w:szCs w:val="24"/>
          <w:lang w:eastAsia="ru-RU"/>
        </w:rPr>
        <w:t>435 623,6</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 xml:space="preserve">рублей, по базовому варианту – </w:t>
      </w:r>
      <w:r w:rsidR="00DE08B9">
        <w:rPr>
          <w:rFonts w:ascii="Times New Roman" w:hAnsi="Times New Roman" w:cs="Times New Roman"/>
          <w:sz w:val="24"/>
          <w:szCs w:val="24"/>
          <w:lang w:eastAsia="ru-RU"/>
        </w:rPr>
        <w:t>488 225,7</w:t>
      </w:r>
      <w:r w:rsidRPr="003F5875">
        <w:rPr>
          <w:rFonts w:ascii="Times New Roman" w:hAnsi="Times New Roman" w:cs="Times New Roman"/>
          <w:sz w:val="24"/>
          <w:szCs w:val="24"/>
          <w:lang w:eastAsia="ru-RU"/>
        </w:rPr>
        <w:t xml:space="preserve"> млн.</w:t>
      </w:r>
      <w:r w:rsidR="00DE08B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 xml:space="preserve">рублей.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Согласно среднесрочному плану развития до 2026 года АО «АВТОВАЗ» к 2019 году выпустит две новые модели и обновит четыре.  Всего к 2026 году предприятие планирует запустить 12 новых моделей и 11 фейслифтов (прогноз на 2020-2022 годы предприятием не представлен).</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Ситуация в химическом комплексе города будет определяться макроэкономическими условиями, влияющими на инвестиционную активность предприятий, колебанием цен и усилением конкуренции на мировом  рынке химической продукции.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Дальнейшее развитие химического производства обусловлено реализацией инвестиционных проектов на предприятиях городского округа Тольятти, а также развитием промышленной площадки индустриального парка «Тольяттисинтез».</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Индекс химического производства будет расти и максимальное его значение</w:t>
      </w:r>
      <w:r w:rsidR="00CF3739">
        <w:rPr>
          <w:rFonts w:ascii="Times New Roman" w:hAnsi="Times New Roman" w:cs="Times New Roman"/>
          <w:sz w:val="24"/>
          <w:szCs w:val="24"/>
          <w:lang w:eastAsia="ru-RU"/>
        </w:rPr>
        <w:t xml:space="preserve"> прогнозируется в 2021 году (102,2</w:t>
      </w:r>
      <w:r w:rsidRPr="003F5875">
        <w:rPr>
          <w:rFonts w:ascii="Times New Roman" w:hAnsi="Times New Roman" w:cs="Times New Roman"/>
          <w:sz w:val="24"/>
          <w:szCs w:val="24"/>
          <w:lang w:eastAsia="ru-RU"/>
        </w:rPr>
        <w:t>%  по консервативному варианту и 10</w:t>
      </w:r>
      <w:r w:rsidR="00CF3739">
        <w:rPr>
          <w:rFonts w:ascii="Times New Roman" w:hAnsi="Times New Roman" w:cs="Times New Roman"/>
          <w:sz w:val="24"/>
          <w:szCs w:val="24"/>
          <w:lang w:eastAsia="ru-RU"/>
        </w:rPr>
        <w:t>5,0</w:t>
      </w:r>
      <w:r w:rsidRPr="003F5875">
        <w:rPr>
          <w:rFonts w:ascii="Times New Roman" w:hAnsi="Times New Roman" w:cs="Times New Roman"/>
          <w:sz w:val="24"/>
          <w:szCs w:val="24"/>
          <w:lang w:eastAsia="ru-RU"/>
        </w:rPr>
        <w:t>% по базовому) в соответствии с производственными планами крупнейших химических предприятий города.</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Так, На ПАО «КуйбышевАзот» в прогнозном периоде в результате завершения инвестиционных проектов планируется наращивание производства капролактама и </w:t>
      </w:r>
      <w:r w:rsidRPr="003F5875">
        <w:rPr>
          <w:rFonts w:ascii="Times New Roman" w:hAnsi="Times New Roman" w:cs="Times New Roman"/>
          <w:sz w:val="24"/>
          <w:szCs w:val="24"/>
          <w:lang w:eastAsia="ru-RU"/>
        </w:rPr>
        <w:lastRenderedPageBreak/>
        <w:t xml:space="preserve">продуктов его дальнейшей переработки (полиамида-6, технической нити, кордонной ткани),  производства азотной кислоты с 1700 до 2056 тонн в сутки и другое.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ПАО «Тольяттиазот» построит третий агрегат карбамида, который позволит увеличить производство до 2200 тонн/сутки, продолжит модернизировать установки производства аммиака.</w:t>
      </w:r>
    </w:p>
    <w:p w:rsid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На ООО «СИБУР Тольятти» запланировано увеличение производства синтетического каучука.</w:t>
      </w:r>
    </w:p>
    <w:p w:rsidR="007534B5" w:rsidRPr="003F5875" w:rsidRDefault="007534B5" w:rsidP="005E7F5D">
      <w:pPr>
        <w:pStyle w:val="a8"/>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прогнозном периоде резидент ТОСЭР «Тольятти» - </w:t>
      </w:r>
      <w:r w:rsidRPr="007534B5">
        <w:rPr>
          <w:rFonts w:ascii="Times New Roman" w:hAnsi="Times New Roman" w:cs="Times New Roman"/>
          <w:sz w:val="24"/>
          <w:szCs w:val="24"/>
          <w:lang w:eastAsia="ru-RU"/>
        </w:rPr>
        <w:t xml:space="preserve">ООО </w:t>
      </w:r>
      <w:r>
        <w:rPr>
          <w:rFonts w:ascii="Times New Roman" w:hAnsi="Times New Roman" w:cs="Times New Roman"/>
          <w:sz w:val="24"/>
          <w:szCs w:val="24"/>
          <w:lang w:eastAsia="ru-RU"/>
        </w:rPr>
        <w:t>«</w:t>
      </w:r>
      <w:r w:rsidRPr="007534B5">
        <w:rPr>
          <w:rFonts w:ascii="Times New Roman" w:hAnsi="Times New Roman" w:cs="Times New Roman"/>
          <w:sz w:val="24"/>
          <w:szCs w:val="24"/>
          <w:lang w:eastAsia="ru-RU"/>
        </w:rPr>
        <w:t>ВОЛГАФЕРТ</w:t>
      </w:r>
      <w:r>
        <w:rPr>
          <w:rFonts w:ascii="Times New Roman" w:hAnsi="Times New Roman" w:cs="Times New Roman"/>
          <w:sz w:val="24"/>
          <w:szCs w:val="24"/>
          <w:lang w:eastAsia="ru-RU"/>
        </w:rPr>
        <w:t>» планирует начать с</w:t>
      </w:r>
      <w:r w:rsidRPr="007534B5">
        <w:rPr>
          <w:rFonts w:ascii="Times New Roman" w:hAnsi="Times New Roman" w:cs="Times New Roman"/>
          <w:sz w:val="24"/>
          <w:szCs w:val="24"/>
          <w:lang w:eastAsia="ru-RU"/>
        </w:rPr>
        <w:t>троительство установки гранулированного карбамида мощностью 1500 тн/сутки</w:t>
      </w:r>
      <w:r>
        <w:rPr>
          <w:rFonts w:ascii="Times New Roman" w:hAnsi="Times New Roman" w:cs="Times New Roman"/>
          <w:sz w:val="24"/>
          <w:szCs w:val="24"/>
          <w:lang w:eastAsia="ru-RU"/>
        </w:rPr>
        <w:t>.</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К 2022 году объем отгруженной химической продукции составит </w:t>
      </w:r>
      <w:r w:rsidR="00CF3739">
        <w:rPr>
          <w:rFonts w:ascii="Times New Roman" w:hAnsi="Times New Roman" w:cs="Times New Roman"/>
          <w:sz w:val="24"/>
          <w:szCs w:val="24"/>
          <w:lang w:eastAsia="ru-RU"/>
        </w:rPr>
        <w:t>174 442,5</w:t>
      </w:r>
      <w:r w:rsidRPr="003F5875">
        <w:rPr>
          <w:rFonts w:ascii="Times New Roman" w:hAnsi="Times New Roman" w:cs="Times New Roman"/>
          <w:sz w:val="24"/>
          <w:szCs w:val="24"/>
          <w:lang w:eastAsia="ru-RU"/>
        </w:rPr>
        <w:t xml:space="preserve"> млн.</w:t>
      </w:r>
      <w:r w:rsidR="00CF373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 xml:space="preserve">рублей и </w:t>
      </w:r>
      <w:r w:rsidR="00CF3739">
        <w:rPr>
          <w:rFonts w:ascii="Times New Roman" w:hAnsi="Times New Roman" w:cs="Times New Roman"/>
          <w:sz w:val="24"/>
          <w:szCs w:val="24"/>
          <w:lang w:eastAsia="ru-RU"/>
        </w:rPr>
        <w:t>183 738,9</w:t>
      </w:r>
      <w:r w:rsidRPr="003F5875">
        <w:rPr>
          <w:rFonts w:ascii="Times New Roman" w:hAnsi="Times New Roman" w:cs="Times New Roman"/>
          <w:sz w:val="24"/>
          <w:szCs w:val="24"/>
          <w:lang w:eastAsia="ru-RU"/>
        </w:rPr>
        <w:t xml:space="preserve"> млн.</w:t>
      </w:r>
      <w:r w:rsidR="00CF3739">
        <w:rPr>
          <w:rFonts w:ascii="Times New Roman" w:hAnsi="Times New Roman" w:cs="Times New Roman"/>
          <w:sz w:val="24"/>
          <w:szCs w:val="24"/>
          <w:lang w:eastAsia="ru-RU"/>
        </w:rPr>
        <w:t xml:space="preserve"> </w:t>
      </w:r>
      <w:r w:rsidRPr="003F5875">
        <w:rPr>
          <w:rFonts w:ascii="Times New Roman" w:hAnsi="Times New Roman" w:cs="Times New Roman"/>
          <w:sz w:val="24"/>
          <w:szCs w:val="24"/>
          <w:lang w:eastAsia="ru-RU"/>
        </w:rPr>
        <w:t xml:space="preserve">рублей по вариантам прогноза соответственно.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За счёт расширения ассортимента и качества производимой продукции, а также технического перевооружения и модернизации производства в прогнозном периоде прогнозируется рост производства пищевых продуктов. Прогнозируется увеличение выпуска колбасных изделий, полуфабрикатов мясных, хлеба и хлебобулочных изделий, кондитерских изделий.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Для развития пищевой промышленности необходимо развитие </w:t>
      </w:r>
      <w:r w:rsidR="00CF3739">
        <w:rPr>
          <w:rFonts w:ascii="Times New Roman" w:hAnsi="Times New Roman" w:cs="Times New Roman"/>
          <w:sz w:val="24"/>
          <w:szCs w:val="24"/>
          <w:lang w:eastAsia="ru-RU"/>
        </w:rPr>
        <w:t xml:space="preserve">малых </w:t>
      </w:r>
      <w:r w:rsidRPr="003F5875">
        <w:rPr>
          <w:rFonts w:ascii="Times New Roman" w:hAnsi="Times New Roman" w:cs="Times New Roman"/>
          <w:sz w:val="24"/>
          <w:szCs w:val="24"/>
          <w:lang w:eastAsia="ru-RU"/>
        </w:rPr>
        <w:t>производств. Это позволит не только расширить конкурентную среду, но и насытить рынок продовольствия продуктами питания расширенного ассортимента по более низким ценам.</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В  производстве пищевых продуктов резидентом ТОСЭР «Тольятти» ОАО «КАРАТ-Тольятти» будет реализован крупный проект по строительству завода по производству твердых, сливочных, творожных и других типов сыров.</w:t>
      </w:r>
      <w:r w:rsidR="007534B5" w:rsidRPr="007534B5">
        <w:t xml:space="preserve"> </w:t>
      </w:r>
      <w:r w:rsidR="007534B5" w:rsidRPr="007534B5">
        <w:rPr>
          <w:rFonts w:ascii="Times New Roman" w:hAnsi="Times New Roman" w:cs="Times New Roman"/>
          <w:sz w:val="24"/>
          <w:szCs w:val="24"/>
          <w:lang w:eastAsia="ru-RU"/>
        </w:rPr>
        <w:t>ООО «БИСКО ТТИ» запланирован проект по производству макарон и мучных кондитерских изделий, ООО «ПАРМА» - производство макарон, ООО «Поволжский пищевой комбинат» - производство готовых пастеризованных обеденных блюд длительного хранения.</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Положительная динамика в автомобилестроении обеспечит в прогнозном периоде рост объемов смежных производств: производства текстильных изделий  и резиновых и пластмассовых изделий будут демонстрировать умеренный, но стабильный рост.</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С учетом низкой базы предыдущих периодов на основании планов по техническому перевооружению и модернизации производственных мощностей, освоению новых видов продукции </w:t>
      </w:r>
      <w:r w:rsidR="00CF3739">
        <w:rPr>
          <w:rFonts w:ascii="Times New Roman" w:hAnsi="Times New Roman" w:cs="Times New Roman"/>
          <w:sz w:val="24"/>
          <w:szCs w:val="24"/>
          <w:lang w:eastAsia="ru-RU"/>
        </w:rPr>
        <w:t xml:space="preserve">постепенно стабилизируется и </w:t>
      </w:r>
      <w:r w:rsidRPr="003F5875">
        <w:rPr>
          <w:rFonts w:ascii="Times New Roman" w:hAnsi="Times New Roman" w:cs="Times New Roman"/>
          <w:sz w:val="24"/>
          <w:szCs w:val="24"/>
          <w:lang w:eastAsia="ru-RU"/>
        </w:rPr>
        <w:t>увеличится производство: прочей неметаллической минеральной продукции, металлургическое производство,  производство электрического оборудования  и производстве готовых металлических изделий.</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Рост показателей </w:t>
      </w:r>
      <w:r w:rsidR="005A522D">
        <w:rPr>
          <w:rFonts w:ascii="Times New Roman" w:hAnsi="Times New Roman" w:cs="Times New Roman"/>
          <w:sz w:val="24"/>
          <w:szCs w:val="24"/>
          <w:lang w:eastAsia="ru-RU"/>
        </w:rPr>
        <w:t xml:space="preserve">по </w:t>
      </w:r>
      <w:r w:rsidRPr="003F5875">
        <w:rPr>
          <w:rFonts w:ascii="Times New Roman" w:hAnsi="Times New Roman" w:cs="Times New Roman"/>
          <w:sz w:val="24"/>
          <w:szCs w:val="24"/>
          <w:lang w:eastAsia="ru-RU"/>
        </w:rPr>
        <w:t>вид</w:t>
      </w:r>
      <w:r w:rsidR="005A522D">
        <w:rPr>
          <w:rFonts w:ascii="Times New Roman" w:hAnsi="Times New Roman" w:cs="Times New Roman"/>
          <w:sz w:val="24"/>
          <w:szCs w:val="24"/>
          <w:lang w:eastAsia="ru-RU"/>
        </w:rPr>
        <w:t>у</w:t>
      </w:r>
      <w:r w:rsidRPr="003F5875">
        <w:rPr>
          <w:rFonts w:ascii="Times New Roman" w:hAnsi="Times New Roman" w:cs="Times New Roman"/>
          <w:sz w:val="24"/>
          <w:szCs w:val="24"/>
          <w:lang w:eastAsia="ru-RU"/>
        </w:rPr>
        <w:t xml:space="preserve"> деятельности «Обеспечение электрической энергией, газом и паром; кондиционирование воздуха» не </w:t>
      </w:r>
      <w:r w:rsidR="007534B5">
        <w:rPr>
          <w:rFonts w:ascii="Times New Roman" w:hAnsi="Times New Roman" w:cs="Times New Roman"/>
          <w:sz w:val="24"/>
          <w:szCs w:val="24"/>
          <w:lang w:eastAsia="ru-RU"/>
        </w:rPr>
        <w:t>ожидается</w:t>
      </w:r>
      <w:r w:rsidRPr="003F5875">
        <w:rPr>
          <w:rFonts w:ascii="Times New Roman" w:hAnsi="Times New Roman" w:cs="Times New Roman"/>
          <w:sz w:val="24"/>
          <w:szCs w:val="24"/>
          <w:lang w:eastAsia="ru-RU"/>
        </w:rPr>
        <w:t>. Производство электроэнергии, а также производство пара и горячей воды не превысят значений 2019 года. Определяют данную тенденцию внедрение энергосберегающих технологий и повсеместную установку приборов учета, снижение электропотребления, в том числе под влиянием температурного фактора, повышение энергетической эффективности.</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По виду деятельности «Водоснабжение; водоотведение, организация сбора и утилизации отходов, деятельность по ликвидации загрязнений» объемы производства будут </w:t>
      </w:r>
      <w:r w:rsidR="00CF3739">
        <w:rPr>
          <w:rFonts w:ascii="Times New Roman" w:hAnsi="Times New Roman" w:cs="Times New Roman"/>
          <w:sz w:val="24"/>
          <w:szCs w:val="24"/>
          <w:lang w:eastAsia="ru-RU"/>
        </w:rPr>
        <w:t>расти умеренно относительно высокой базы 2018-2019 годов</w:t>
      </w:r>
      <w:r w:rsidRPr="003F5875">
        <w:rPr>
          <w:rFonts w:ascii="Times New Roman" w:hAnsi="Times New Roman" w:cs="Times New Roman"/>
          <w:sz w:val="24"/>
          <w:szCs w:val="24"/>
          <w:lang w:eastAsia="ru-RU"/>
        </w:rPr>
        <w:t xml:space="preserve">. К факторам, определяющим тенденции развития данного вида деятельности, можно отнести продолжение предприятиями модернизации и реконструкции водопроводных и </w:t>
      </w:r>
      <w:r w:rsidRPr="003F5875">
        <w:rPr>
          <w:rFonts w:ascii="Times New Roman" w:hAnsi="Times New Roman" w:cs="Times New Roman"/>
          <w:sz w:val="24"/>
          <w:szCs w:val="24"/>
          <w:lang w:eastAsia="ru-RU"/>
        </w:rPr>
        <w:lastRenderedPageBreak/>
        <w:t xml:space="preserve">канализационных сетей, очистных сооружений, а также уровень объемов сбора и переработки отходов производства и потребления.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На динамику промышленного производства окажет влияние реализация инвестиционных проектов на территории </w:t>
      </w:r>
      <w:r w:rsidR="00CF3739">
        <w:rPr>
          <w:rFonts w:ascii="Times New Roman" w:hAnsi="Times New Roman" w:cs="Times New Roman"/>
          <w:sz w:val="24"/>
          <w:szCs w:val="24"/>
          <w:lang w:eastAsia="ru-RU"/>
        </w:rPr>
        <w:t xml:space="preserve">городского округа </w:t>
      </w:r>
      <w:r w:rsidRPr="003F5875">
        <w:rPr>
          <w:rFonts w:ascii="Times New Roman" w:hAnsi="Times New Roman" w:cs="Times New Roman"/>
          <w:sz w:val="24"/>
          <w:szCs w:val="24"/>
          <w:lang w:eastAsia="ru-RU"/>
        </w:rPr>
        <w:t xml:space="preserve">Тольятти в рамках созданной в конце 2016 года территории опережающего социально-экономического развития. Благодаря  ТОСЭР </w:t>
      </w:r>
      <w:r w:rsidR="00CF3739">
        <w:rPr>
          <w:rFonts w:ascii="Times New Roman" w:hAnsi="Times New Roman" w:cs="Times New Roman"/>
          <w:sz w:val="24"/>
          <w:szCs w:val="24"/>
          <w:lang w:eastAsia="ru-RU"/>
        </w:rPr>
        <w:t xml:space="preserve">«Тольятти» </w:t>
      </w:r>
      <w:r w:rsidRPr="003F5875">
        <w:rPr>
          <w:rFonts w:ascii="Times New Roman" w:hAnsi="Times New Roman" w:cs="Times New Roman"/>
          <w:sz w:val="24"/>
          <w:szCs w:val="24"/>
          <w:lang w:eastAsia="ru-RU"/>
        </w:rPr>
        <w:t xml:space="preserve">в городе открываются новые предприятия. Так, с начала 2017 года статус резидента ТОСЭР </w:t>
      </w:r>
      <w:r w:rsidR="00CF3739">
        <w:rPr>
          <w:rFonts w:ascii="Times New Roman" w:hAnsi="Times New Roman" w:cs="Times New Roman"/>
          <w:sz w:val="24"/>
          <w:szCs w:val="24"/>
          <w:lang w:eastAsia="ru-RU"/>
        </w:rPr>
        <w:t xml:space="preserve">«Тольятти» </w:t>
      </w:r>
      <w:r w:rsidRPr="003F5875">
        <w:rPr>
          <w:rFonts w:ascii="Times New Roman" w:hAnsi="Times New Roman" w:cs="Times New Roman"/>
          <w:sz w:val="24"/>
          <w:szCs w:val="24"/>
          <w:lang w:eastAsia="ru-RU"/>
        </w:rPr>
        <w:t xml:space="preserve">получили </w:t>
      </w:r>
      <w:r w:rsidR="00CF3739">
        <w:rPr>
          <w:rFonts w:ascii="Times New Roman" w:hAnsi="Times New Roman" w:cs="Times New Roman"/>
          <w:sz w:val="24"/>
          <w:szCs w:val="24"/>
          <w:lang w:eastAsia="ru-RU"/>
        </w:rPr>
        <w:t>76</w:t>
      </w:r>
      <w:r w:rsidRPr="003F5875">
        <w:rPr>
          <w:rFonts w:ascii="Times New Roman" w:hAnsi="Times New Roman" w:cs="Times New Roman"/>
          <w:sz w:val="24"/>
          <w:szCs w:val="24"/>
          <w:lang w:eastAsia="ru-RU"/>
        </w:rPr>
        <w:t xml:space="preserve"> организаций (по состоянию на </w:t>
      </w:r>
      <w:r w:rsidR="00CF3739">
        <w:rPr>
          <w:rFonts w:ascii="Times New Roman" w:hAnsi="Times New Roman" w:cs="Times New Roman"/>
          <w:sz w:val="24"/>
          <w:szCs w:val="24"/>
          <w:lang w:eastAsia="ru-RU"/>
        </w:rPr>
        <w:t>01</w:t>
      </w:r>
      <w:r w:rsidRPr="003F5875">
        <w:rPr>
          <w:rFonts w:ascii="Times New Roman" w:hAnsi="Times New Roman" w:cs="Times New Roman"/>
          <w:sz w:val="24"/>
          <w:szCs w:val="24"/>
          <w:lang w:eastAsia="ru-RU"/>
        </w:rPr>
        <w:t>.</w:t>
      </w:r>
      <w:r w:rsidR="00CF3739">
        <w:rPr>
          <w:rFonts w:ascii="Times New Roman" w:hAnsi="Times New Roman" w:cs="Times New Roman"/>
          <w:sz w:val="24"/>
          <w:szCs w:val="24"/>
          <w:lang w:eastAsia="ru-RU"/>
        </w:rPr>
        <w:t>10</w:t>
      </w:r>
      <w:r w:rsidRPr="003F5875">
        <w:rPr>
          <w:rFonts w:ascii="Times New Roman" w:hAnsi="Times New Roman" w:cs="Times New Roman"/>
          <w:sz w:val="24"/>
          <w:szCs w:val="24"/>
          <w:lang w:eastAsia="ru-RU"/>
        </w:rPr>
        <w:t xml:space="preserve">.2019).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Большинство </w:t>
      </w:r>
      <w:r w:rsidR="002444A7">
        <w:rPr>
          <w:rFonts w:ascii="Times New Roman" w:hAnsi="Times New Roman" w:cs="Times New Roman"/>
          <w:sz w:val="24"/>
          <w:szCs w:val="24"/>
          <w:lang w:eastAsia="ru-RU"/>
        </w:rPr>
        <w:t>из них</w:t>
      </w:r>
      <w:r w:rsidRPr="003F5875">
        <w:rPr>
          <w:rFonts w:ascii="Times New Roman" w:hAnsi="Times New Roman" w:cs="Times New Roman"/>
          <w:sz w:val="24"/>
          <w:szCs w:val="24"/>
          <w:lang w:eastAsia="ru-RU"/>
        </w:rPr>
        <w:t xml:space="preserve"> уже приступили к реализации проектов в различных видах промышленной деятельности (производство пищевых продуктов, кожгалантерейных изделий, вентиляционного оборудования, светодиодного оборудования, радиаторов отопления, мебели и т.д.), что будет способствовать росту объемов и разнообразию видов производимой в городе продукции.</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В производстве строительных материалов резидент ТОСЭР «Тольятти» ООО «Завод ЖБИ ФЛОРКОН» намерен реализовать проект по созданию быстроразвертываемого высокотехнологичного производства железобетонных изделий.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В производстве электрического оборудования АО «АКОМ» планирует организовать производство промышленных свинцовых аккумуляторных батарей. Еще </w:t>
      </w:r>
      <w:r w:rsidR="00CC7BD9">
        <w:rPr>
          <w:rFonts w:ascii="Times New Roman" w:hAnsi="Times New Roman" w:cs="Times New Roman"/>
          <w:sz w:val="24"/>
          <w:szCs w:val="24"/>
          <w:lang w:eastAsia="ru-RU"/>
        </w:rPr>
        <w:t xml:space="preserve">один резидент ТОСЭР «Тольятти» </w:t>
      </w:r>
      <w:r w:rsidRPr="003F5875">
        <w:rPr>
          <w:rFonts w:ascii="Times New Roman" w:hAnsi="Times New Roman" w:cs="Times New Roman"/>
          <w:sz w:val="24"/>
          <w:szCs w:val="24"/>
          <w:lang w:eastAsia="ru-RU"/>
        </w:rPr>
        <w:t xml:space="preserve">– ООО «Валео Технолоджи Рус» – намерен реализовать проект по производству компонентов и систем для автомобильной индустрии.  </w:t>
      </w:r>
    </w:p>
    <w:p w:rsidR="003F5875" w:rsidRPr="003F5875"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 xml:space="preserve">Одним из важных факторов экономического роста является увеличение производительности труда, основанное на технологической модернизации производств, внедрении принципов бережливого производства, цифровых технологий, стимулировании инновационной деятельности, повышении квалификации персонала. Росту производительности труда будет способствовать реализация региональной составляющей национального проекта «Производительность труда и поддержка занятости».  </w:t>
      </w:r>
    </w:p>
    <w:p w:rsidR="003F5875" w:rsidRPr="003F5875" w:rsidRDefault="00E45DCE" w:rsidP="005E7F5D">
      <w:pPr>
        <w:pStyle w:val="a8"/>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7534B5">
        <w:rPr>
          <w:rFonts w:ascii="Times New Roman" w:hAnsi="Times New Roman" w:cs="Times New Roman"/>
          <w:sz w:val="24"/>
          <w:szCs w:val="24"/>
          <w:lang w:eastAsia="ru-RU"/>
        </w:rPr>
        <w:t xml:space="preserve">о состоянию на </w:t>
      </w:r>
      <w:r w:rsidR="00155509">
        <w:rPr>
          <w:rFonts w:ascii="Times New Roman" w:hAnsi="Times New Roman" w:cs="Times New Roman"/>
          <w:sz w:val="24"/>
          <w:szCs w:val="24"/>
          <w:lang w:eastAsia="ru-RU"/>
        </w:rPr>
        <w:t>25</w:t>
      </w:r>
      <w:r w:rsidR="007534B5">
        <w:rPr>
          <w:rFonts w:ascii="Times New Roman" w:hAnsi="Times New Roman" w:cs="Times New Roman"/>
          <w:sz w:val="24"/>
          <w:szCs w:val="24"/>
          <w:lang w:eastAsia="ru-RU"/>
        </w:rPr>
        <w:t xml:space="preserve">.10.2019 уже </w:t>
      </w:r>
      <w:r w:rsidR="00155509">
        <w:rPr>
          <w:rFonts w:ascii="Times New Roman" w:hAnsi="Times New Roman" w:cs="Times New Roman"/>
          <w:sz w:val="24"/>
          <w:szCs w:val="24"/>
          <w:lang w:eastAsia="ru-RU"/>
        </w:rPr>
        <w:t>20</w:t>
      </w:r>
      <w:r w:rsidR="003F5875" w:rsidRPr="003F5875">
        <w:rPr>
          <w:rFonts w:ascii="Times New Roman" w:hAnsi="Times New Roman" w:cs="Times New Roman"/>
          <w:sz w:val="24"/>
          <w:szCs w:val="24"/>
          <w:lang w:eastAsia="ru-RU"/>
        </w:rPr>
        <w:t xml:space="preserve"> тольяттинских промышленных и строительных организаций стали участниками и должны повысить производительность труда не менее, чем на 30</w:t>
      </w:r>
      <w:r w:rsidR="007534B5">
        <w:rPr>
          <w:rFonts w:ascii="Times New Roman" w:hAnsi="Times New Roman" w:cs="Times New Roman"/>
          <w:sz w:val="24"/>
          <w:szCs w:val="24"/>
          <w:lang w:eastAsia="ru-RU"/>
        </w:rPr>
        <w:t>,0</w:t>
      </w:r>
      <w:r w:rsidR="003F5875" w:rsidRPr="003F5875">
        <w:rPr>
          <w:rFonts w:ascii="Times New Roman" w:hAnsi="Times New Roman" w:cs="Times New Roman"/>
          <w:sz w:val="24"/>
          <w:szCs w:val="24"/>
          <w:lang w:eastAsia="ru-RU"/>
        </w:rPr>
        <w:t xml:space="preserve">% за 3 года.   </w:t>
      </w:r>
    </w:p>
    <w:p w:rsidR="006C2640" w:rsidRDefault="003F5875" w:rsidP="005E7F5D">
      <w:pPr>
        <w:pStyle w:val="a8"/>
        <w:spacing w:line="276" w:lineRule="auto"/>
        <w:ind w:firstLine="709"/>
        <w:jc w:val="both"/>
        <w:rPr>
          <w:rFonts w:ascii="Times New Roman" w:hAnsi="Times New Roman" w:cs="Times New Roman"/>
          <w:sz w:val="24"/>
          <w:szCs w:val="24"/>
          <w:lang w:eastAsia="ru-RU"/>
        </w:rPr>
      </w:pPr>
      <w:r w:rsidRPr="003F5875">
        <w:rPr>
          <w:rFonts w:ascii="Times New Roman" w:hAnsi="Times New Roman" w:cs="Times New Roman"/>
          <w:sz w:val="24"/>
          <w:szCs w:val="24"/>
          <w:lang w:eastAsia="ru-RU"/>
        </w:rPr>
        <w:t>Кроме этого, продолжится реализация мероприятий по развитию экспортной деятельности, в том числе в рамках региональной составляющей национального проекта «Международная кооперация и экспорт».</w:t>
      </w:r>
    </w:p>
    <w:p w:rsidR="003F5875" w:rsidRPr="0096463D" w:rsidRDefault="003F5875" w:rsidP="003F5875">
      <w:pPr>
        <w:pStyle w:val="a8"/>
        <w:spacing w:line="276" w:lineRule="auto"/>
        <w:ind w:firstLine="709"/>
        <w:jc w:val="both"/>
        <w:rPr>
          <w:rFonts w:ascii="Times New Roman" w:hAnsi="Times New Roman" w:cs="Times New Roman"/>
          <w:b/>
          <w:sz w:val="24"/>
          <w:szCs w:val="24"/>
          <w:highlight w:val="yellow"/>
          <w:lang w:eastAsia="ru-RU"/>
        </w:rPr>
      </w:pPr>
    </w:p>
    <w:p w:rsidR="003D3198" w:rsidRPr="00730526" w:rsidRDefault="003D3198" w:rsidP="004272BD">
      <w:pPr>
        <w:pStyle w:val="a8"/>
        <w:spacing w:line="276" w:lineRule="auto"/>
        <w:jc w:val="center"/>
        <w:rPr>
          <w:rFonts w:ascii="Times New Roman" w:hAnsi="Times New Roman" w:cs="Times New Roman"/>
          <w:b/>
          <w:sz w:val="24"/>
          <w:szCs w:val="24"/>
          <w:lang w:eastAsia="ru-RU"/>
        </w:rPr>
      </w:pPr>
      <w:r w:rsidRPr="00730526">
        <w:rPr>
          <w:rFonts w:ascii="Times New Roman" w:hAnsi="Times New Roman" w:cs="Times New Roman"/>
          <w:b/>
          <w:sz w:val="24"/>
          <w:szCs w:val="24"/>
          <w:lang w:eastAsia="ru-RU"/>
        </w:rPr>
        <w:t>Малое и среднее предпринимательство</w:t>
      </w:r>
      <w:bookmarkStart w:id="3" w:name="предприним"/>
      <w:bookmarkEnd w:id="3"/>
    </w:p>
    <w:p w:rsidR="003D3198" w:rsidRPr="00730526" w:rsidRDefault="003D3198" w:rsidP="003B73CA">
      <w:pPr>
        <w:pStyle w:val="a8"/>
        <w:spacing w:line="276" w:lineRule="auto"/>
        <w:ind w:firstLine="709"/>
        <w:jc w:val="center"/>
        <w:rPr>
          <w:rFonts w:ascii="Times New Roman" w:hAnsi="Times New Roman" w:cs="Times New Roman"/>
          <w:b/>
          <w:sz w:val="24"/>
          <w:szCs w:val="24"/>
          <w:lang w:eastAsia="ru-RU"/>
        </w:rPr>
      </w:pPr>
    </w:p>
    <w:p w:rsidR="003D3198" w:rsidRDefault="003D3198" w:rsidP="001970B8">
      <w:pPr>
        <w:pStyle w:val="af6"/>
        <w:spacing w:before="0" w:line="276" w:lineRule="auto"/>
        <w:ind w:left="0" w:right="0" w:firstLine="709"/>
        <w:jc w:val="both"/>
        <w:rPr>
          <w:color w:val="1A1A1A"/>
          <w:sz w:val="24"/>
          <w:szCs w:val="24"/>
          <w:shd w:val="clear" w:color="auto" w:fill="FFFFFF"/>
        </w:rPr>
      </w:pPr>
      <w:r w:rsidRPr="00730526">
        <w:rPr>
          <w:sz w:val="24"/>
          <w:szCs w:val="24"/>
        </w:rPr>
        <w:t>Прогноз развития малого и среднего предпринимательства по городскому округу Тольятти на 20</w:t>
      </w:r>
      <w:r w:rsidR="00730526">
        <w:rPr>
          <w:sz w:val="24"/>
          <w:szCs w:val="24"/>
        </w:rPr>
        <w:t xml:space="preserve">20 </w:t>
      </w:r>
      <w:r w:rsidRPr="00730526">
        <w:rPr>
          <w:sz w:val="24"/>
          <w:szCs w:val="24"/>
        </w:rPr>
        <w:t>-</w:t>
      </w:r>
      <w:r w:rsidR="00730526">
        <w:rPr>
          <w:sz w:val="24"/>
          <w:szCs w:val="24"/>
        </w:rPr>
        <w:t xml:space="preserve"> </w:t>
      </w:r>
      <w:r w:rsidRPr="00730526">
        <w:rPr>
          <w:sz w:val="24"/>
          <w:szCs w:val="24"/>
        </w:rPr>
        <w:t>202</w:t>
      </w:r>
      <w:r w:rsidR="00730526">
        <w:rPr>
          <w:sz w:val="24"/>
          <w:szCs w:val="24"/>
        </w:rPr>
        <w:t>2</w:t>
      </w:r>
      <w:r w:rsidRPr="00730526">
        <w:rPr>
          <w:sz w:val="24"/>
          <w:szCs w:val="24"/>
        </w:rPr>
        <w:t xml:space="preserve"> годы составлен н</w:t>
      </w:r>
      <w:r w:rsidRPr="00730526">
        <w:rPr>
          <w:color w:val="1A1A1A"/>
          <w:sz w:val="24"/>
          <w:szCs w:val="24"/>
          <w:shd w:val="clear" w:color="auto" w:fill="FFFFFF"/>
        </w:rPr>
        <w:t xml:space="preserve">а основе сведений, содержащихся в Едином реестре субъектов малого и среднего предпринимательства, размещенном в свободном доступе на официальном сайте </w:t>
      </w:r>
      <w:r w:rsidR="00C125EA" w:rsidRPr="00730526">
        <w:rPr>
          <w:color w:val="1A1A1A"/>
          <w:sz w:val="24"/>
          <w:szCs w:val="24"/>
          <w:shd w:val="clear" w:color="auto" w:fill="FFFFFF"/>
        </w:rPr>
        <w:t>Федеральной налоговой службы</w:t>
      </w:r>
      <w:r w:rsidR="00730526">
        <w:rPr>
          <w:color w:val="1A1A1A"/>
          <w:sz w:val="24"/>
          <w:szCs w:val="24"/>
          <w:shd w:val="clear" w:color="auto" w:fill="FFFFFF"/>
        </w:rPr>
        <w:t xml:space="preserve"> </w:t>
      </w:r>
      <w:r w:rsidR="002444A7">
        <w:rPr>
          <w:color w:val="1A1A1A"/>
          <w:sz w:val="24"/>
          <w:szCs w:val="24"/>
          <w:shd w:val="clear" w:color="auto" w:fill="FFFFFF"/>
        </w:rPr>
        <w:t xml:space="preserve">России </w:t>
      </w:r>
      <w:r w:rsidR="00730526">
        <w:rPr>
          <w:color w:val="1A1A1A"/>
          <w:sz w:val="24"/>
          <w:szCs w:val="24"/>
          <w:shd w:val="clear" w:color="auto" w:fill="FFFFFF"/>
        </w:rPr>
        <w:t>(далее по разделу – Реестр)</w:t>
      </w:r>
      <w:r w:rsidR="001004AF">
        <w:rPr>
          <w:color w:val="1A1A1A"/>
          <w:sz w:val="24"/>
          <w:szCs w:val="24"/>
          <w:shd w:val="clear" w:color="auto" w:fill="FFFFFF"/>
        </w:rPr>
        <w:t xml:space="preserve"> с учетом планируемого прироста в рамках установленных для городского округа Тольятти значений целевых показателей национального проекта </w:t>
      </w:r>
      <w:r w:rsidR="001004AF" w:rsidRPr="00344442">
        <w:rPr>
          <w:sz w:val="24"/>
          <w:szCs w:val="24"/>
        </w:rPr>
        <w:t>«Малое и среднее предпринимательство и поддержка индивидуальной предпринимательской инициативы»</w:t>
      </w:r>
      <w:r w:rsidR="001004AF">
        <w:rPr>
          <w:sz w:val="24"/>
          <w:szCs w:val="24"/>
        </w:rPr>
        <w:t xml:space="preserve"> (далее по разделу – национальный проект)</w:t>
      </w:r>
      <w:r w:rsidRPr="00730526">
        <w:rPr>
          <w:color w:val="1A1A1A"/>
          <w:sz w:val="24"/>
          <w:szCs w:val="24"/>
          <w:shd w:val="clear" w:color="auto" w:fill="FFFFFF"/>
        </w:rPr>
        <w:t>.</w:t>
      </w:r>
    </w:p>
    <w:p w:rsidR="003D3198" w:rsidRPr="002444A7" w:rsidRDefault="001004AF" w:rsidP="001970B8">
      <w:pPr>
        <w:pStyle w:val="a8"/>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3D3198" w:rsidRPr="002444A7">
        <w:rPr>
          <w:rFonts w:ascii="Times New Roman" w:hAnsi="Times New Roman" w:cs="Times New Roman"/>
          <w:color w:val="000000"/>
          <w:sz w:val="24"/>
          <w:szCs w:val="24"/>
        </w:rPr>
        <w:t xml:space="preserve">рогнозируется положительная динамика количества субъектов малого и среднего предпринимательства (далее </w:t>
      </w:r>
      <w:r w:rsidR="0024199E" w:rsidRPr="002444A7">
        <w:rPr>
          <w:rFonts w:ascii="Times New Roman" w:hAnsi="Times New Roman" w:cs="Times New Roman"/>
          <w:color w:val="000000"/>
          <w:sz w:val="24"/>
          <w:szCs w:val="24"/>
        </w:rPr>
        <w:t xml:space="preserve">по разделу </w:t>
      </w:r>
      <w:r w:rsidR="003D3198" w:rsidRPr="002444A7">
        <w:rPr>
          <w:rFonts w:ascii="Times New Roman" w:hAnsi="Times New Roman" w:cs="Times New Roman"/>
          <w:color w:val="000000"/>
          <w:sz w:val="24"/>
          <w:szCs w:val="24"/>
        </w:rPr>
        <w:t xml:space="preserve">– СМСП) по </w:t>
      </w:r>
      <w:r w:rsidR="002444A7">
        <w:rPr>
          <w:rFonts w:ascii="Times New Roman" w:hAnsi="Times New Roman" w:cs="Times New Roman"/>
          <w:color w:val="000000"/>
          <w:sz w:val="24"/>
          <w:szCs w:val="24"/>
        </w:rPr>
        <w:t>обоим</w:t>
      </w:r>
      <w:r w:rsidR="003D3198" w:rsidRPr="002444A7">
        <w:rPr>
          <w:rFonts w:ascii="Times New Roman" w:hAnsi="Times New Roman" w:cs="Times New Roman"/>
          <w:color w:val="000000"/>
          <w:sz w:val="24"/>
          <w:szCs w:val="24"/>
        </w:rPr>
        <w:t xml:space="preserve"> вариант</w:t>
      </w:r>
      <w:r w:rsidR="0024199E" w:rsidRPr="002444A7">
        <w:rPr>
          <w:rFonts w:ascii="Times New Roman" w:hAnsi="Times New Roman" w:cs="Times New Roman"/>
          <w:color w:val="000000"/>
          <w:sz w:val="24"/>
          <w:szCs w:val="24"/>
        </w:rPr>
        <w:t>ам</w:t>
      </w:r>
      <w:r w:rsidR="003D3198" w:rsidRPr="002444A7">
        <w:rPr>
          <w:rFonts w:ascii="Times New Roman" w:hAnsi="Times New Roman" w:cs="Times New Roman"/>
          <w:color w:val="000000"/>
          <w:sz w:val="24"/>
          <w:szCs w:val="24"/>
        </w:rPr>
        <w:t xml:space="preserve"> прогноза. </w:t>
      </w:r>
    </w:p>
    <w:p w:rsidR="002444A7" w:rsidRDefault="003D3198" w:rsidP="001970B8">
      <w:pPr>
        <w:pStyle w:val="a8"/>
        <w:spacing w:line="276" w:lineRule="auto"/>
        <w:ind w:firstLine="709"/>
        <w:jc w:val="both"/>
        <w:rPr>
          <w:rFonts w:ascii="Times New Roman" w:hAnsi="Times New Roman" w:cs="Times New Roman"/>
          <w:color w:val="000000"/>
          <w:sz w:val="24"/>
          <w:szCs w:val="24"/>
        </w:rPr>
      </w:pPr>
      <w:r w:rsidRPr="002444A7">
        <w:rPr>
          <w:rFonts w:ascii="Times New Roman" w:hAnsi="Times New Roman" w:cs="Times New Roman"/>
          <w:color w:val="000000"/>
          <w:sz w:val="24"/>
          <w:szCs w:val="24"/>
        </w:rPr>
        <w:lastRenderedPageBreak/>
        <w:t xml:space="preserve">По </w:t>
      </w:r>
      <w:r w:rsidR="002444A7" w:rsidRPr="002444A7">
        <w:rPr>
          <w:rFonts w:ascii="Times New Roman" w:hAnsi="Times New Roman" w:cs="Times New Roman"/>
          <w:color w:val="000000"/>
          <w:sz w:val="24"/>
          <w:szCs w:val="24"/>
        </w:rPr>
        <w:t xml:space="preserve">базовому варианту </w:t>
      </w:r>
      <w:r w:rsidRPr="002444A7">
        <w:rPr>
          <w:rFonts w:ascii="Times New Roman" w:hAnsi="Times New Roman" w:cs="Times New Roman"/>
          <w:color w:val="000000"/>
          <w:sz w:val="24"/>
          <w:szCs w:val="24"/>
        </w:rPr>
        <w:t xml:space="preserve">прогноза количество СМСП </w:t>
      </w:r>
      <w:r w:rsidR="0024199E" w:rsidRPr="002444A7">
        <w:rPr>
          <w:rFonts w:ascii="Times New Roman" w:hAnsi="Times New Roman" w:cs="Times New Roman"/>
          <w:color w:val="000000"/>
          <w:sz w:val="24"/>
          <w:szCs w:val="24"/>
        </w:rPr>
        <w:t>будет увеличи</w:t>
      </w:r>
      <w:r w:rsidR="002444A7" w:rsidRPr="002444A7">
        <w:rPr>
          <w:rFonts w:ascii="Times New Roman" w:hAnsi="Times New Roman" w:cs="Times New Roman"/>
          <w:color w:val="000000"/>
          <w:sz w:val="24"/>
          <w:szCs w:val="24"/>
        </w:rPr>
        <w:t xml:space="preserve">ваться более высокими темпами. Расчет показателя произведен с учетом достижения в полном объеме целевых значений показателей прироста численности работников </w:t>
      </w:r>
      <w:r w:rsidR="001004AF">
        <w:rPr>
          <w:rFonts w:ascii="Times New Roman" w:hAnsi="Times New Roman" w:cs="Times New Roman"/>
          <w:color w:val="000000"/>
          <w:sz w:val="24"/>
          <w:szCs w:val="24"/>
        </w:rPr>
        <w:t xml:space="preserve">в сфере </w:t>
      </w:r>
      <w:r w:rsidR="002444A7" w:rsidRPr="002444A7">
        <w:rPr>
          <w:rFonts w:ascii="Times New Roman" w:hAnsi="Times New Roman" w:cs="Times New Roman"/>
          <w:color w:val="000000"/>
          <w:sz w:val="24"/>
          <w:szCs w:val="24"/>
        </w:rPr>
        <w:t>СМСП в рамках национального проекта</w:t>
      </w:r>
      <w:r w:rsidR="001004AF">
        <w:rPr>
          <w:rFonts w:ascii="Times New Roman" w:hAnsi="Times New Roman" w:cs="Times New Roman"/>
          <w:color w:val="000000"/>
          <w:sz w:val="24"/>
          <w:szCs w:val="24"/>
        </w:rPr>
        <w:t xml:space="preserve"> </w:t>
      </w:r>
      <w:r w:rsidR="008C2695">
        <w:rPr>
          <w:rFonts w:ascii="Times New Roman" w:hAnsi="Times New Roman" w:cs="Times New Roman"/>
          <w:color w:val="000000"/>
          <w:sz w:val="24"/>
          <w:szCs w:val="24"/>
        </w:rPr>
        <w:t>(</w:t>
      </w:r>
      <w:r w:rsidR="001004AF" w:rsidRPr="008C2695">
        <w:rPr>
          <w:rFonts w:ascii="Times New Roman" w:hAnsi="Times New Roman" w:cs="Times New Roman"/>
          <w:color w:val="000000"/>
          <w:sz w:val="24"/>
          <w:szCs w:val="24"/>
        </w:rPr>
        <w:t>в 2020</w:t>
      </w:r>
      <w:r w:rsidR="008C2695">
        <w:rPr>
          <w:rFonts w:ascii="Times New Roman" w:hAnsi="Times New Roman" w:cs="Times New Roman"/>
          <w:color w:val="000000"/>
          <w:sz w:val="24"/>
          <w:szCs w:val="24"/>
        </w:rPr>
        <w:t xml:space="preserve"> - 2022 </w:t>
      </w:r>
      <w:r w:rsidR="001004AF" w:rsidRPr="008C2695">
        <w:rPr>
          <w:rFonts w:ascii="Times New Roman" w:hAnsi="Times New Roman" w:cs="Times New Roman"/>
          <w:color w:val="000000"/>
          <w:sz w:val="24"/>
          <w:szCs w:val="24"/>
        </w:rPr>
        <w:t xml:space="preserve"> году </w:t>
      </w:r>
      <w:r w:rsidR="008C2695">
        <w:rPr>
          <w:rFonts w:ascii="Times New Roman" w:hAnsi="Times New Roman" w:cs="Times New Roman"/>
          <w:color w:val="000000"/>
          <w:sz w:val="24"/>
          <w:szCs w:val="24"/>
        </w:rPr>
        <w:t xml:space="preserve">- 11,2 тыс. человек). </w:t>
      </w:r>
      <w:r w:rsidR="002444A7" w:rsidRPr="002444A7">
        <w:rPr>
          <w:rFonts w:ascii="Times New Roman" w:hAnsi="Times New Roman" w:cs="Times New Roman"/>
          <w:color w:val="000000"/>
          <w:sz w:val="24"/>
          <w:szCs w:val="24"/>
        </w:rPr>
        <w:t xml:space="preserve"> </w:t>
      </w:r>
    </w:p>
    <w:p w:rsidR="003D3198" w:rsidRPr="002444A7" w:rsidRDefault="00360741" w:rsidP="001970B8">
      <w:pPr>
        <w:pStyle w:val="a8"/>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к</w:t>
      </w:r>
      <w:r w:rsidR="0024199E" w:rsidRPr="002444A7">
        <w:rPr>
          <w:rFonts w:ascii="Times New Roman" w:hAnsi="Times New Roman" w:cs="Times New Roman"/>
          <w:color w:val="000000"/>
          <w:sz w:val="24"/>
          <w:szCs w:val="24"/>
        </w:rPr>
        <w:t xml:space="preserve"> концу прогнозного периода </w:t>
      </w:r>
      <w:r w:rsidR="002444A7" w:rsidRPr="002444A7">
        <w:rPr>
          <w:rFonts w:ascii="Times New Roman" w:hAnsi="Times New Roman" w:cs="Times New Roman"/>
          <w:color w:val="000000"/>
          <w:sz w:val="24"/>
          <w:szCs w:val="24"/>
        </w:rPr>
        <w:t xml:space="preserve">количество СМСП </w:t>
      </w:r>
      <w:r w:rsidR="0024199E" w:rsidRPr="002444A7">
        <w:rPr>
          <w:rFonts w:ascii="Times New Roman" w:hAnsi="Times New Roman" w:cs="Times New Roman"/>
          <w:color w:val="000000"/>
          <w:sz w:val="24"/>
          <w:szCs w:val="24"/>
        </w:rPr>
        <w:t>достигнет</w:t>
      </w:r>
      <w:r w:rsidR="003D3198" w:rsidRPr="002444A7">
        <w:rPr>
          <w:rFonts w:ascii="Times New Roman" w:hAnsi="Times New Roman" w:cs="Times New Roman"/>
          <w:color w:val="000000"/>
          <w:sz w:val="24"/>
          <w:szCs w:val="24"/>
        </w:rPr>
        <w:t xml:space="preserve"> </w:t>
      </w:r>
      <w:r w:rsidR="0024199E" w:rsidRPr="002444A7">
        <w:rPr>
          <w:rFonts w:ascii="Times New Roman" w:hAnsi="Times New Roman" w:cs="Times New Roman"/>
          <w:color w:val="000000"/>
          <w:sz w:val="24"/>
          <w:szCs w:val="24"/>
        </w:rPr>
        <w:t xml:space="preserve">по </w:t>
      </w:r>
      <w:r w:rsidR="002C6EFA" w:rsidRPr="002444A7">
        <w:rPr>
          <w:rFonts w:ascii="Times New Roman" w:hAnsi="Times New Roman" w:cs="Times New Roman"/>
          <w:color w:val="000000"/>
          <w:sz w:val="24"/>
          <w:szCs w:val="24"/>
        </w:rPr>
        <w:t>базовому</w:t>
      </w:r>
      <w:r w:rsidR="0024199E" w:rsidRPr="002444A7">
        <w:rPr>
          <w:rFonts w:ascii="Times New Roman" w:hAnsi="Times New Roman" w:cs="Times New Roman"/>
          <w:color w:val="000000"/>
          <w:sz w:val="24"/>
          <w:szCs w:val="24"/>
        </w:rPr>
        <w:t xml:space="preserve"> варианту </w:t>
      </w:r>
      <w:r w:rsidR="002444A7" w:rsidRPr="002444A7">
        <w:rPr>
          <w:rFonts w:ascii="Times New Roman" w:hAnsi="Times New Roman" w:cs="Times New Roman"/>
          <w:color w:val="000000"/>
          <w:sz w:val="24"/>
          <w:szCs w:val="24"/>
        </w:rPr>
        <w:t>прогноза</w:t>
      </w:r>
      <w:r w:rsidR="0024199E" w:rsidRPr="002444A7">
        <w:rPr>
          <w:rFonts w:ascii="Times New Roman" w:hAnsi="Times New Roman" w:cs="Times New Roman"/>
          <w:color w:val="000000"/>
          <w:sz w:val="24"/>
          <w:szCs w:val="24"/>
        </w:rPr>
        <w:t xml:space="preserve"> </w:t>
      </w:r>
      <w:r w:rsidR="002444A7">
        <w:rPr>
          <w:rFonts w:ascii="Times New Roman" w:hAnsi="Times New Roman" w:cs="Times New Roman"/>
          <w:color w:val="000000"/>
          <w:sz w:val="24"/>
          <w:szCs w:val="24"/>
        </w:rPr>
        <w:t>36,8</w:t>
      </w:r>
      <w:r w:rsidR="00627E6E" w:rsidRPr="002444A7">
        <w:rPr>
          <w:rFonts w:ascii="Times New Roman" w:hAnsi="Times New Roman" w:cs="Times New Roman"/>
          <w:color w:val="000000"/>
          <w:sz w:val="24"/>
          <w:szCs w:val="24"/>
        </w:rPr>
        <w:t xml:space="preserve"> тыс.</w:t>
      </w:r>
      <w:r w:rsidR="0024199E" w:rsidRPr="002444A7">
        <w:rPr>
          <w:rFonts w:ascii="Times New Roman" w:hAnsi="Times New Roman" w:cs="Times New Roman"/>
          <w:color w:val="000000"/>
          <w:sz w:val="24"/>
          <w:szCs w:val="24"/>
        </w:rPr>
        <w:t xml:space="preserve"> единиц (темп роста в 202</w:t>
      </w:r>
      <w:r w:rsidR="002444A7">
        <w:rPr>
          <w:rFonts w:ascii="Times New Roman" w:hAnsi="Times New Roman" w:cs="Times New Roman"/>
          <w:color w:val="000000"/>
          <w:sz w:val="24"/>
          <w:szCs w:val="24"/>
        </w:rPr>
        <w:t>2</w:t>
      </w:r>
      <w:r w:rsidR="0024199E" w:rsidRPr="002444A7">
        <w:rPr>
          <w:rFonts w:ascii="Times New Roman" w:hAnsi="Times New Roman" w:cs="Times New Roman"/>
          <w:color w:val="000000"/>
          <w:sz w:val="24"/>
          <w:szCs w:val="24"/>
        </w:rPr>
        <w:t xml:space="preserve"> году к 20</w:t>
      </w:r>
      <w:r w:rsidR="002444A7">
        <w:rPr>
          <w:rFonts w:ascii="Times New Roman" w:hAnsi="Times New Roman" w:cs="Times New Roman"/>
          <w:color w:val="000000"/>
          <w:sz w:val="24"/>
          <w:szCs w:val="24"/>
        </w:rPr>
        <w:t>19</w:t>
      </w:r>
      <w:r w:rsidR="0024199E" w:rsidRPr="002444A7">
        <w:rPr>
          <w:rFonts w:ascii="Times New Roman" w:hAnsi="Times New Roman" w:cs="Times New Roman"/>
          <w:color w:val="000000"/>
          <w:sz w:val="24"/>
          <w:szCs w:val="24"/>
        </w:rPr>
        <w:t xml:space="preserve"> году – </w:t>
      </w:r>
      <w:r w:rsidR="002444A7">
        <w:rPr>
          <w:rFonts w:ascii="Times New Roman" w:hAnsi="Times New Roman" w:cs="Times New Roman"/>
          <w:color w:val="000000"/>
          <w:sz w:val="24"/>
          <w:szCs w:val="24"/>
        </w:rPr>
        <w:t>110,8%)</w:t>
      </w:r>
      <w:r w:rsidR="0024199E" w:rsidRPr="002444A7">
        <w:rPr>
          <w:rFonts w:ascii="Times New Roman" w:hAnsi="Times New Roman" w:cs="Times New Roman"/>
          <w:color w:val="000000"/>
          <w:sz w:val="24"/>
          <w:szCs w:val="24"/>
        </w:rPr>
        <w:t>.</w:t>
      </w:r>
    </w:p>
    <w:p w:rsidR="00937E5F" w:rsidRPr="008E3B10" w:rsidRDefault="00A21870" w:rsidP="001970B8">
      <w:pPr>
        <w:pStyle w:val="a8"/>
        <w:spacing w:line="276" w:lineRule="auto"/>
        <w:ind w:firstLine="709"/>
        <w:jc w:val="both"/>
        <w:rPr>
          <w:rFonts w:ascii="Times New Roman" w:hAnsi="Times New Roman" w:cs="Times New Roman"/>
          <w:color w:val="000000"/>
          <w:sz w:val="24"/>
          <w:szCs w:val="24"/>
          <w:lang w:eastAsia="ru-RU"/>
        </w:rPr>
      </w:pPr>
      <w:r w:rsidRPr="008E3B10">
        <w:rPr>
          <w:rFonts w:ascii="Times New Roman" w:hAnsi="Times New Roman" w:cs="Times New Roman"/>
          <w:color w:val="000000"/>
          <w:sz w:val="24"/>
          <w:szCs w:val="24"/>
          <w:lang w:eastAsia="ru-RU"/>
        </w:rPr>
        <w:t>Увеличению количества СМСП будет способствовать:</w:t>
      </w:r>
    </w:p>
    <w:p w:rsidR="00937E5F" w:rsidRPr="008E3B10" w:rsidRDefault="00A21870" w:rsidP="001970B8">
      <w:pPr>
        <w:pStyle w:val="a8"/>
        <w:suppressAutoHyphens w:val="0"/>
        <w:spacing w:line="276" w:lineRule="auto"/>
        <w:ind w:firstLine="709"/>
        <w:jc w:val="both"/>
        <w:rPr>
          <w:rFonts w:ascii="Times New Roman" w:hAnsi="Times New Roman" w:cs="Times New Roman"/>
          <w:color w:val="000000"/>
          <w:sz w:val="24"/>
          <w:szCs w:val="24"/>
          <w:lang w:eastAsia="ru-RU"/>
        </w:rPr>
      </w:pPr>
      <w:r w:rsidRPr="008E3B10">
        <w:rPr>
          <w:rFonts w:ascii="Times New Roman" w:hAnsi="Times New Roman" w:cs="Times New Roman"/>
          <w:color w:val="000000"/>
          <w:sz w:val="24"/>
          <w:szCs w:val="24"/>
          <w:lang w:eastAsia="ru-RU"/>
        </w:rPr>
        <w:t>- р</w:t>
      </w:r>
      <w:r w:rsidR="00937E5F" w:rsidRPr="008E3B10">
        <w:rPr>
          <w:rFonts w:ascii="Times New Roman" w:hAnsi="Times New Roman" w:cs="Times New Roman"/>
          <w:color w:val="000000"/>
          <w:sz w:val="24"/>
          <w:szCs w:val="24"/>
          <w:lang w:eastAsia="ru-RU"/>
        </w:rPr>
        <w:t>еализаци</w:t>
      </w:r>
      <w:r w:rsidRPr="008E3B10">
        <w:rPr>
          <w:rFonts w:ascii="Times New Roman" w:hAnsi="Times New Roman" w:cs="Times New Roman"/>
          <w:color w:val="000000"/>
          <w:sz w:val="24"/>
          <w:szCs w:val="24"/>
          <w:lang w:eastAsia="ru-RU"/>
        </w:rPr>
        <w:t>я</w:t>
      </w:r>
      <w:r w:rsidR="00937E5F" w:rsidRPr="008E3B10">
        <w:rPr>
          <w:rFonts w:ascii="Times New Roman" w:hAnsi="Times New Roman" w:cs="Times New Roman"/>
          <w:color w:val="000000"/>
          <w:sz w:val="24"/>
          <w:szCs w:val="24"/>
          <w:lang w:eastAsia="ru-RU"/>
        </w:rPr>
        <w:t xml:space="preserve"> мероприятий муниципальной программы городского округа Тольятти «Развитие малого и среднего предпринимательства городского окр</w:t>
      </w:r>
      <w:r w:rsidRPr="008E3B10">
        <w:rPr>
          <w:rFonts w:ascii="Times New Roman" w:hAnsi="Times New Roman" w:cs="Times New Roman"/>
          <w:color w:val="000000"/>
          <w:sz w:val="24"/>
          <w:szCs w:val="24"/>
          <w:lang w:eastAsia="ru-RU"/>
        </w:rPr>
        <w:t>уга Тольятти на 2018-2022 годы»</w:t>
      </w:r>
      <w:r w:rsidR="00321233" w:rsidRPr="008E3B10">
        <w:rPr>
          <w:rFonts w:ascii="Times New Roman" w:hAnsi="Times New Roman" w:cs="Times New Roman"/>
          <w:color w:val="000000"/>
          <w:sz w:val="24"/>
          <w:szCs w:val="24"/>
          <w:lang w:eastAsia="ru-RU"/>
        </w:rPr>
        <w:t xml:space="preserve"> (далее по разделу – Программа)</w:t>
      </w:r>
      <w:r w:rsidRPr="008E3B10">
        <w:rPr>
          <w:rFonts w:ascii="Times New Roman" w:hAnsi="Times New Roman" w:cs="Times New Roman"/>
          <w:color w:val="000000"/>
          <w:sz w:val="24"/>
          <w:szCs w:val="24"/>
          <w:lang w:eastAsia="ru-RU"/>
        </w:rPr>
        <w:t>.</w:t>
      </w:r>
    </w:p>
    <w:p w:rsidR="008E3B10" w:rsidRDefault="008E3B10" w:rsidP="001970B8">
      <w:pPr>
        <w:pStyle w:val="af"/>
        <w:autoSpaceDE w:val="0"/>
        <w:autoSpaceDN w:val="0"/>
        <w:spacing w:line="276" w:lineRule="auto"/>
        <w:ind w:left="0" w:firstLine="709"/>
        <w:jc w:val="both"/>
        <w:rPr>
          <w:color w:val="000000"/>
          <w:sz w:val="24"/>
          <w:szCs w:val="24"/>
        </w:rPr>
      </w:pPr>
      <w:r w:rsidRPr="008E3B10">
        <w:rPr>
          <w:color w:val="000000"/>
          <w:sz w:val="24"/>
          <w:szCs w:val="24"/>
        </w:rPr>
        <w:t xml:space="preserve">Финансирование мероприятий </w:t>
      </w:r>
      <w:r w:rsidR="001004AF">
        <w:rPr>
          <w:color w:val="000000"/>
          <w:sz w:val="24"/>
          <w:szCs w:val="24"/>
        </w:rPr>
        <w:t>П</w:t>
      </w:r>
      <w:r w:rsidRPr="008E3B10">
        <w:rPr>
          <w:color w:val="000000"/>
          <w:sz w:val="24"/>
          <w:szCs w:val="24"/>
        </w:rPr>
        <w:t>рограммы осуществляется в рамках приказа Мин</w:t>
      </w:r>
      <w:r w:rsidR="001004AF">
        <w:rPr>
          <w:color w:val="000000"/>
          <w:sz w:val="24"/>
          <w:szCs w:val="24"/>
        </w:rPr>
        <w:t xml:space="preserve">истерства экономического развития </w:t>
      </w:r>
      <w:r w:rsidRPr="008E3B10">
        <w:rPr>
          <w:color w:val="000000"/>
          <w:sz w:val="24"/>
          <w:szCs w:val="24"/>
        </w:rPr>
        <w:t>Р</w:t>
      </w:r>
      <w:r w:rsidR="001004AF">
        <w:rPr>
          <w:color w:val="000000"/>
          <w:sz w:val="24"/>
          <w:szCs w:val="24"/>
        </w:rPr>
        <w:t xml:space="preserve">оссийской </w:t>
      </w:r>
      <w:r w:rsidRPr="008E3B10">
        <w:rPr>
          <w:color w:val="000000"/>
          <w:sz w:val="24"/>
          <w:szCs w:val="24"/>
        </w:rPr>
        <w:t>Ф</w:t>
      </w:r>
      <w:r w:rsidR="001004AF">
        <w:rPr>
          <w:color w:val="000000"/>
          <w:sz w:val="24"/>
          <w:szCs w:val="24"/>
        </w:rPr>
        <w:t xml:space="preserve">едерации </w:t>
      </w:r>
      <w:r w:rsidRPr="008E3B10">
        <w:rPr>
          <w:color w:val="000000"/>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w:t>
      </w:r>
      <w:r w:rsidR="002444A7">
        <w:rPr>
          <w:color w:val="000000"/>
          <w:sz w:val="24"/>
          <w:szCs w:val="24"/>
        </w:rPr>
        <w:t xml:space="preserve">по разделу </w:t>
      </w:r>
      <w:r w:rsidRPr="008E3B10">
        <w:rPr>
          <w:color w:val="000000"/>
          <w:sz w:val="24"/>
          <w:szCs w:val="24"/>
        </w:rPr>
        <w:t xml:space="preserve">– </w:t>
      </w:r>
      <w:r w:rsidR="002444A7">
        <w:rPr>
          <w:color w:val="000000"/>
          <w:sz w:val="24"/>
          <w:szCs w:val="24"/>
        </w:rPr>
        <w:t>к</w:t>
      </w:r>
      <w:r w:rsidRPr="008E3B10">
        <w:rPr>
          <w:color w:val="000000"/>
          <w:sz w:val="24"/>
          <w:szCs w:val="24"/>
        </w:rPr>
        <w:t>онкурсный отбор).</w:t>
      </w:r>
    </w:p>
    <w:p w:rsidR="008E3B10" w:rsidRPr="008E3B10" w:rsidRDefault="008E3B10" w:rsidP="001970B8">
      <w:pPr>
        <w:pStyle w:val="af"/>
        <w:autoSpaceDE w:val="0"/>
        <w:autoSpaceDN w:val="0"/>
        <w:spacing w:line="276" w:lineRule="auto"/>
        <w:ind w:left="0" w:firstLine="709"/>
        <w:jc w:val="both"/>
        <w:rPr>
          <w:color w:val="000000"/>
          <w:sz w:val="24"/>
          <w:szCs w:val="24"/>
        </w:rPr>
      </w:pPr>
      <w:r w:rsidRPr="008E3B10">
        <w:rPr>
          <w:color w:val="000000"/>
          <w:sz w:val="24"/>
          <w:szCs w:val="24"/>
        </w:rPr>
        <w:t xml:space="preserve">Администрация городского округа Тольятти ежегодно направляет заявку на участие в </w:t>
      </w:r>
      <w:r w:rsidR="002444A7">
        <w:rPr>
          <w:color w:val="000000"/>
          <w:sz w:val="24"/>
          <w:szCs w:val="24"/>
        </w:rPr>
        <w:t>М</w:t>
      </w:r>
      <w:r w:rsidRPr="008E3B10">
        <w:rPr>
          <w:color w:val="000000"/>
          <w:sz w:val="24"/>
          <w:szCs w:val="24"/>
        </w:rPr>
        <w:t xml:space="preserve">инистерство экономического развития </w:t>
      </w:r>
      <w:r w:rsidR="002444A7">
        <w:rPr>
          <w:color w:val="000000"/>
          <w:sz w:val="24"/>
          <w:szCs w:val="24"/>
        </w:rPr>
        <w:t xml:space="preserve">и </w:t>
      </w:r>
      <w:r w:rsidRPr="008E3B10">
        <w:rPr>
          <w:color w:val="000000"/>
          <w:sz w:val="24"/>
          <w:szCs w:val="24"/>
        </w:rPr>
        <w:t>инвестиций Самарской области после объявления соответствующего конкурсного отбора.</w:t>
      </w:r>
    </w:p>
    <w:p w:rsidR="00937E5F" w:rsidRPr="008E3B10" w:rsidRDefault="00937E5F" w:rsidP="001970B8">
      <w:pPr>
        <w:pStyle w:val="af"/>
        <w:autoSpaceDE w:val="0"/>
        <w:autoSpaceDN w:val="0"/>
        <w:spacing w:line="276" w:lineRule="auto"/>
        <w:ind w:left="0" w:firstLine="709"/>
        <w:jc w:val="both"/>
        <w:rPr>
          <w:color w:val="000000"/>
          <w:sz w:val="24"/>
          <w:szCs w:val="24"/>
        </w:rPr>
      </w:pPr>
      <w:r w:rsidRPr="008E3B10">
        <w:rPr>
          <w:color w:val="000000"/>
          <w:sz w:val="24"/>
          <w:szCs w:val="24"/>
        </w:rPr>
        <w:t xml:space="preserve">Общий объем финансирования </w:t>
      </w:r>
      <w:r w:rsidR="00321233" w:rsidRPr="008E3B10">
        <w:rPr>
          <w:color w:val="000000"/>
          <w:sz w:val="24"/>
          <w:szCs w:val="24"/>
        </w:rPr>
        <w:t>П</w:t>
      </w:r>
      <w:r w:rsidRPr="008E3B10">
        <w:rPr>
          <w:color w:val="000000"/>
          <w:sz w:val="24"/>
          <w:szCs w:val="24"/>
        </w:rPr>
        <w:t xml:space="preserve">рограммы </w:t>
      </w:r>
      <w:r w:rsidR="001004AF">
        <w:rPr>
          <w:color w:val="000000"/>
          <w:sz w:val="24"/>
          <w:szCs w:val="24"/>
        </w:rPr>
        <w:t xml:space="preserve">до 2022 года </w:t>
      </w:r>
      <w:r w:rsidRPr="008E3B10">
        <w:rPr>
          <w:color w:val="000000"/>
          <w:sz w:val="24"/>
          <w:szCs w:val="24"/>
        </w:rPr>
        <w:t xml:space="preserve">составит </w:t>
      </w:r>
      <w:r w:rsidR="008E3B10" w:rsidRPr="008E3B10">
        <w:rPr>
          <w:color w:val="000000"/>
          <w:sz w:val="24"/>
          <w:szCs w:val="24"/>
        </w:rPr>
        <w:t>217 663,1</w:t>
      </w:r>
      <w:r w:rsidRPr="008E3B10">
        <w:rPr>
          <w:color w:val="000000"/>
          <w:sz w:val="24"/>
          <w:szCs w:val="24"/>
        </w:rPr>
        <w:t xml:space="preserve"> тыс. </w:t>
      </w:r>
      <w:r w:rsidR="00BF0444" w:rsidRPr="008E3B10">
        <w:rPr>
          <w:color w:val="000000"/>
          <w:sz w:val="24"/>
          <w:szCs w:val="24"/>
        </w:rPr>
        <w:t>рублей</w:t>
      </w:r>
      <w:r w:rsidRPr="008E3B10">
        <w:rPr>
          <w:color w:val="000000"/>
          <w:sz w:val="24"/>
          <w:szCs w:val="24"/>
        </w:rPr>
        <w:t>, в том числе: в 201</w:t>
      </w:r>
      <w:r w:rsidR="008E3B10" w:rsidRPr="008E3B10">
        <w:rPr>
          <w:color w:val="000000"/>
          <w:sz w:val="24"/>
          <w:szCs w:val="24"/>
        </w:rPr>
        <w:t>9</w:t>
      </w:r>
      <w:r w:rsidRPr="008E3B10">
        <w:rPr>
          <w:color w:val="000000"/>
          <w:sz w:val="24"/>
          <w:szCs w:val="24"/>
        </w:rPr>
        <w:t xml:space="preserve"> году – </w:t>
      </w:r>
      <w:r w:rsidR="008E3B10" w:rsidRPr="008E3B10">
        <w:rPr>
          <w:color w:val="000000"/>
          <w:sz w:val="24"/>
          <w:szCs w:val="24"/>
        </w:rPr>
        <w:t>70 399,2</w:t>
      </w:r>
      <w:r w:rsidRPr="008E3B10">
        <w:rPr>
          <w:color w:val="000000"/>
          <w:sz w:val="24"/>
          <w:szCs w:val="24"/>
        </w:rPr>
        <w:t xml:space="preserve"> тыс. </w:t>
      </w:r>
      <w:r w:rsidR="00BF0444" w:rsidRPr="008E3B10">
        <w:rPr>
          <w:color w:val="000000"/>
          <w:sz w:val="24"/>
          <w:szCs w:val="24"/>
        </w:rPr>
        <w:t>рублей</w:t>
      </w:r>
      <w:r w:rsidRPr="008E3B10">
        <w:rPr>
          <w:color w:val="000000"/>
          <w:sz w:val="24"/>
          <w:szCs w:val="24"/>
        </w:rPr>
        <w:t>, в 20</w:t>
      </w:r>
      <w:r w:rsidR="008E3B10" w:rsidRPr="008E3B10">
        <w:rPr>
          <w:color w:val="000000"/>
          <w:sz w:val="24"/>
          <w:szCs w:val="24"/>
        </w:rPr>
        <w:t xml:space="preserve">20-2021 </w:t>
      </w:r>
      <w:r w:rsidRPr="008E3B10">
        <w:rPr>
          <w:color w:val="000000"/>
          <w:sz w:val="24"/>
          <w:szCs w:val="24"/>
        </w:rPr>
        <w:t>год</w:t>
      </w:r>
      <w:r w:rsidR="008E3B10" w:rsidRPr="008E3B10">
        <w:rPr>
          <w:color w:val="000000"/>
          <w:sz w:val="24"/>
          <w:szCs w:val="24"/>
        </w:rPr>
        <w:t>ах</w:t>
      </w:r>
      <w:r w:rsidRPr="008E3B10">
        <w:rPr>
          <w:color w:val="000000"/>
          <w:sz w:val="24"/>
          <w:szCs w:val="24"/>
        </w:rPr>
        <w:t xml:space="preserve"> – </w:t>
      </w:r>
      <w:r w:rsidR="008E3B10" w:rsidRPr="008E3B10">
        <w:rPr>
          <w:color w:val="000000"/>
          <w:sz w:val="24"/>
          <w:szCs w:val="24"/>
        </w:rPr>
        <w:t>по 34 229,0</w:t>
      </w:r>
      <w:r w:rsidRPr="008E3B10">
        <w:rPr>
          <w:color w:val="000000"/>
          <w:sz w:val="24"/>
          <w:szCs w:val="24"/>
        </w:rPr>
        <w:t xml:space="preserve"> тыс. </w:t>
      </w:r>
      <w:r w:rsidR="00BF0444" w:rsidRPr="008E3B10">
        <w:rPr>
          <w:color w:val="000000"/>
          <w:sz w:val="24"/>
          <w:szCs w:val="24"/>
        </w:rPr>
        <w:t>рублей</w:t>
      </w:r>
      <w:r w:rsidRPr="008E3B10">
        <w:rPr>
          <w:color w:val="000000"/>
          <w:sz w:val="24"/>
          <w:szCs w:val="24"/>
        </w:rPr>
        <w:t>, в 20</w:t>
      </w:r>
      <w:r w:rsidR="008E3B10" w:rsidRPr="008E3B10">
        <w:rPr>
          <w:color w:val="000000"/>
          <w:sz w:val="24"/>
          <w:szCs w:val="24"/>
        </w:rPr>
        <w:t>22</w:t>
      </w:r>
      <w:r w:rsidRPr="008E3B10">
        <w:rPr>
          <w:color w:val="000000"/>
          <w:sz w:val="24"/>
          <w:szCs w:val="24"/>
        </w:rPr>
        <w:t xml:space="preserve"> году – </w:t>
      </w:r>
      <w:r w:rsidR="008E3B10" w:rsidRPr="008E3B10">
        <w:rPr>
          <w:color w:val="000000"/>
          <w:sz w:val="24"/>
          <w:szCs w:val="24"/>
        </w:rPr>
        <w:t>19 484,7</w:t>
      </w:r>
      <w:r w:rsidRPr="008E3B10">
        <w:rPr>
          <w:color w:val="000000"/>
          <w:sz w:val="24"/>
          <w:szCs w:val="24"/>
        </w:rPr>
        <w:t xml:space="preserve"> тыс. </w:t>
      </w:r>
      <w:r w:rsidR="00BF0444" w:rsidRPr="008E3B10">
        <w:rPr>
          <w:color w:val="000000"/>
          <w:sz w:val="24"/>
          <w:szCs w:val="24"/>
        </w:rPr>
        <w:t>рублей</w:t>
      </w:r>
      <w:r w:rsidR="00627E6E" w:rsidRPr="008E3B10">
        <w:rPr>
          <w:color w:val="000000"/>
          <w:sz w:val="24"/>
          <w:szCs w:val="24"/>
        </w:rPr>
        <w:t>.</w:t>
      </w:r>
      <w:r w:rsidRPr="008E3B10">
        <w:rPr>
          <w:color w:val="000000"/>
          <w:sz w:val="24"/>
          <w:szCs w:val="24"/>
        </w:rPr>
        <w:t xml:space="preserve"> Источники финансирования - бюджет городского округа Тольятти, региональный бюджет</w:t>
      </w:r>
      <w:r w:rsidR="008E3B10" w:rsidRPr="008E3B10">
        <w:rPr>
          <w:color w:val="000000"/>
          <w:sz w:val="24"/>
          <w:szCs w:val="24"/>
        </w:rPr>
        <w:t>. Мероприятия и показатели Программы приведены в соответствие с показателями национального проекта</w:t>
      </w:r>
      <w:r w:rsidR="00627E6E" w:rsidRPr="008E3B10">
        <w:rPr>
          <w:color w:val="000000"/>
          <w:sz w:val="24"/>
          <w:szCs w:val="24"/>
        </w:rPr>
        <w:t>;</w:t>
      </w:r>
    </w:p>
    <w:p w:rsidR="00937E5F" w:rsidRPr="008E3B10" w:rsidRDefault="00A21870" w:rsidP="001970B8">
      <w:pPr>
        <w:pStyle w:val="af"/>
        <w:autoSpaceDE w:val="0"/>
        <w:autoSpaceDN w:val="0"/>
        <w:spacing w:line="276" w:lineRule="auto"/>
        <w:ind w:left="0" w:firstLine="709"/>
        <w:jc w:val="both"/>
        <w:rPr>
          <w:color w:val="000000"/>
          <w:sz w:val="24"/>
          <w:szCs w:val="24"/>
        </w:rPr>
      </w:pPr>
      <w:r w:rsidRPr="008E3B10">
        <w:rPr>
          <w:color w:val="000000"/>
          <w:sz w:val="24"/>
          <w:szCs w:val="24"/>
        </w:rPr>
        <w:t>-</w:t>
      </w:r>
      <w:r w:rsidR="00937E5F" w:rsidRPr="008E3B10">
        <w:rPr>
          <w:color w:val="000000"/>
          <w:sz w:val="24"/>
          <w:szCs w:val="24"/>
        </w:rPr>
        <w:t xml:space="preserve"> </w:t>
      </w:r>
      <w:r w:rsidRPr="008E3B10">
        <w:rPr>
          <w:color w:val="000000"/>
          <w:sz w:val="24"/>
          <w:szCs w:val="24"/>
        </w:rPr>
        <w:t>р</w:t>
      </w:r>
      <w:r w:rsidR="00937E5F" w:rsidRPr="008E3B10">
        <w:rPr>
          <w:color w:val="000000"/>
          <w:sz w:val="24"/>
          <w:szCs w:val="24"/>
        </w:rPr>
        <w:t xml:space="preserve">еализации мероприятий государственной программы Самарской области </w:t>
      </w:r>
      <w:r w:rsidRPr="008E3B10">
        <w:rPr>
          <w:color w:val="000000"/>
          <w:sz w:val="24"/>
          <w:szCs w:val="24"/>
        </w:rPr>
        <w:t>«</w:t>
      </w:r>
      <w:r w:rsidR="00937E5F" w:rsidRPr="008E3B10">
        <w:rPr>
          <w:color w:val="000000"/>
          <w:sz w:val="24"/>
          <w:szCs w:val="24"/>
        </w:rPr>
        <w:t xml:space="preserve">Развитие </w:t>
      </w:r>
      <w:r w:rsidR="008E3B10" w:rsidRPr="008E3B10">
        <w:rPr>
          <w:color w:val="000000"/>
          <w:sz w:val="24"/>
          <w:szCs w:val="24"/>
        </w:rPr>
        <w:t>малого и среднего предпринимательства в Самарской области»</w:t>
      </w:r>
      <w:r w:rsidR="00627E6E" w:rsidRPr="008E3B10">
        <w:rPr>
          <w:color w:val="000000"/>
          <w:sz w:val="24"/>
          <w:szCs w:val="24"/>
        </w:rPr>
        <w:t xml:space="preserve"> на 20</w:t>
      </w:r>
      <w:r w:rsidR="008E3B10" w:rsidRPr="008E3B10">
        <w:rPr>
          <w:color w:val="000000"/>
          <w:sz w:val="24"/>
          <w:szCs w:val="24"/>
        </w:rPr>
        <w:t>19</w:t>
      </w:r>
      <w:r w:rsidR="00627E6E" w:rsidRPr="008E3B10">
        <w:rPr>
          <w:color w:val="000000"/>
          <w:sz w:val="24"/>
          <w:szCs w:val="24"/>
        </w:rPr>
        <w:t xml:space="preserve"> - 2030 годы;</w:t>
      </w:r>
    </w:p>
    <w:p w:rsidR="00360741" w:rsidRDefault="00A21870" w:rsidP="001970B8">
      <w:pPr>
        <w:pStyle w:val="af"/>
        <w:autoSpaceDE w:val="0"/>
        <w:autoSpaceDN w:val="0"/>
        <w:spacing w:line="276" w:lineRule="auto"/>
        <w:ind w:left="0" w:firstLine="709"/>
        <w:jc w:val="both"/>
        <w:rPr>
          <w:color w:val="000000"/>
          <w:sz w:val="24"/>
          <w:szCs w:val="24"/>
        </w:rPr>
      </w:pPr>
      <w:r w:rsidRPr="008E3B10">
        <w:rPr>
          <w:color w:val="000000"/>
          <w:sz w:val="24"/>
          <w:szCs w:val="24"/>
        </w:rPr>
        <w:t>- р</w:t>
      </w:r>
      <w:r w:rsidR="00937E5F" w:rsidRPr="008E3B10">
        <w:rPr>
          <w:color w:val="000000"/>
          <w:sz w:val="24"/>
          <w:szCs w:val="24"/>
        </w:rPr>
        <w:t xml:space="preserve">азвития </w:t>
      </w:r>
      <w:r w:rsidR="00627E6E" w:rsidRPr="008E3B10">
        <w:rPr>
          <w:color w:val="000000"/>
          <w:sz w:val="24"/>
          <w:szCs w:val="24"/>
        </w:rPr>
        <w:t>ТОСЭР</w:t>
      </w:r>
      <w:r w:rsidR="00937E5F" w:rsidRPr="008E3B10">
        <w:rPr>
          <w:color w:val="000000"/>
          <w:sz w:val="24"/>
          <w:szCs w:val="24"/>
        </w:rPr>
        <w:t xml:space="preserve"> «Тольятти», позволяющей создавать новые рабочие места</w:t>
      </w:r>
      <w:r w:rsidRPr="008E3B10">
        <w:rPr>
          <w:color w:val="000000"/>
          <w:sz w:val="24"/>
          <w:szCs w:val="24"/>
        </w:rPr>
        <w:t xml:space="preserve"> и инвестиции в основной капитал</w:t>
      </w:r>
      <w:r w:rsidR="00937E5F" w:rsidRPr="008E3B10">
        <w:rPr>
          <w:color w:val="000000"/>
          <w:sz w:val="24"/>
          <w:szCs w:val="24"/>
        </w:rPr>
        <w:t xml:space="preserve">, </w:t>
      </w:r>
      <w:r w:rsidRPr="008E3B10">
        <w:rPr>
          <w:color w:val="000000"/>
          <w:sz w:val="24"/>
          <w:szCs w:val="24"/>
        </w:rPr>
        <w:t>в основном, в малом бизнесе</w:t>
      </w:r>
      <w:r w:rsidR="00360741">
        <w:rPr>
          <w:color w:val="000000"/>
          <w:sz w:val="24"/>
          <w:szCs w:val="24"/>
        </w:rPr>
        <w:t xml:space="preserve">. </w:t>
      </w:r>
    </w:p>
    <w:p w:rsidR="008E3B10" w:rsidRPr="008E3B10" w:rsidRDefault="008E3B10" w:rsidP="001970B8">
      <w:pPr>
        <w:pStyle w:val="af"/>
        <w:autoSpaceDE w:val="0"/>
        <w:autoSpaceDN w:val="0"/>
        <w:spacing w:line="276" w:lineRule="auto"/>
        <w:ind w:left="0" w:firstLine="709"/>
        <w:jc w:val="both"/>
        <w:rPr>
          <w:color w:val="000000"/>
          <w:sz w:val="24"/>
          <w:szCs w:val="24"/>
        </w:rPr>
      </w:pPr>
      <w:r w:rsidRPr="008E3B10">
        <w:rPr>
          <w:color w:val="000000"/>
          <w:sz w:val="24"/>
          <w:szCs w:val="24"/>
        </w:rPr>
        <w:t xml:space="preserve">Положительной динамике СМСП будет </w:t>
      </w:r>
      <w:r w:rsidR="00360741">
        <w:rPr>
          <w:color w:val="000000"/>
          <w:sz w:val="24"/>
          <w:szCs w:val="24"/>
        </w:rPr>
        <w:t>способствовать</w:t>
      </w:r>
      <w:r w:rsidRPr="008E3B10">
        <w:rPr>
          <w:color w:val="000000"/>
          <w:sz w:val="24"/>
          <w:szCs w:val="24"/>
        </w:rPr>
        <w:t xml:space="preserve"> функционирование развитой инфраструктуры поддержки малого и среднего предпринимательства, которая представлена такими организациями как: Муниципальный фонд поддержки и развития субъектов малого и среднего предпринимательства микрокредитная компания городского округа Тольятти; Муниципальное автономное учреждение городского округа Тольятти «Агентство экономического развития»; Филиал Самарский областной Фонд микрофинансирования; Акционерное общество Микрокредитная компания «Гарантийный фонд Самарской области»; Акционерное общество «Самарская областная лизинговая компания для малого и среднего бизнеса»; Общественная приемная института </w:t>
      </w:r>
      <w:r w:rsidRPr="008E3B10">
        <w:rPr>
          <w:color w:val="000000"/>
          <w:sz w:val="24"/>
          <w:szCs w:val="24"/>
        </w:rPr>
        <w:lastRenderedPageBreak/>
        <w:t xml:space="preserve">Уполномоченного при Президенте </w:t>
      </w:r>
      <w:r w:rsidR="001004AF">
        <w:rPr>
          <w:color w:val="000000"/>
          <w:sz w:val="24"/>
          <w:szCs w:val="24"/>
        </w:rPr>
        <w:t>Российской Федерации</w:t>
      </w:r>
      <w:r w:rsidRPr="008E3B10">
        <w:rPr>
          <w:color w:val="000000"/>
          <w:sz w:val="24"/>
          <w:szCs w:val="24"/>
        </w:rPr>
        <w:t xml:space="preserve"> по защите прав предпринимателей в г. Тольятти Самарской области.</w:t>
      </w:r>
    </w:p>
    <w:p w:rsidR="008E3B10" w:rsidRPr="008E3B10" w:rsidRDefault="001004AF" w:rsidP="001970B8">
      <w:pPr>
        <w:pStyle w:val="af"/>
        <w:autoSpaceDE w:val="0"/>
        <w:autoSpaceDN w:val="0"/>
        <w:spacing w:line="276" w:lineRule="auto"/>
        <w:ind w:left="0" w:firstLine="709"/>
        <w:jc w:val="both"/>
        <w:rPr>
          <w:color w:val="000000"/>
          <w:sz w:val="24"/>
          <w:szCs w:val="24"/>
        </w:rPr>
      </w:pPr>
      <w:r>
        <w:rPr>
          <w:color w:val="000000"/>
          <w:sz w:val="24"/>
          <w:szCs w:val="24"/>
        </w:rPr>
        <w:t xml:space="preserve">В 2020 году </w:t>
      </w:r>
      <w:r w:rsidRPr="001004AF">
        <w:rPr>
          <w:color w:val="000000"/>
          <w:sz w:val="24"/>
          <w:szCs w:val="24"/>
        </w:rPr>
        <w:t xml:space="preserve">на территории городского округа Тольятти планируется создание промышленного парка </w:t>
      </w:r>
      <w:r w:rsidR="008E3B10" w:rsidRPr="008E3B10">
        <w:rPr>
          <w:color w:val="000000"/>
          <w:sz w:val="24"/>
          <w:szCs w:val="24"/>
        </w:rPr>
        <w:t xml:space="preserve">в целях обеспечения льготного доступа </w:t>
      </w:r>
      <w:r>
        <w:rPr>
          <w:color w:val="000000"/>
          <w:sz w:val="24"/>
          <w:szCs w:val="24"/>
        </w:rPr>
        <w:t>С</w:t>
      </w:r>
      <w:r w:rsidR="008E3B10" w:rsidRPr="008E3B10">
        <w:rPr>
          <w:color w:val="000000"/>
          <w:sz w:val="24"/>
          <w:szCs w:val="24"/>
        </w:rPr>
        <w:t>МСП к производственным площадям и помещениям.</w:t>
      </w:r>
    </w:p>
    <w:p w:rsidR="008E3B10" w:rsidRDefault="008E3B10" w:rsidP="003F316C">
      <w:pPr>
        <w:pStyle w:val="a8"/>
        <w:spacing w:line="276" w:lineRule="auto"/>
        <w:jc w:val="center"/>
        <w:rPr>
          <w:rFonts w:ascii="Times New Roman" w:hAnsi="Times New Roman" w:cs="Times New Roman"/>
          <w:b/>
          <w:sz w:val="24"/>
          <w:szCs w:val="24"/>
        </w:rPr>
      </w:pPr>
    </w:p>
    <w:p w:rsidR="003F316C" w:rsidRPr="00D72C7B" w:rsidRDefault="003F316C" w:rsidP="003F316C">
      <w:pPr>
        <w:pStyle w:val="a8"/>
        <w:spacing w:line="276" w:lineRule="auto"/>
        <w:jc w:val="center"/>
        <w:rPr>
          <w:rFonts w:ascii="Times New Roman" w:hAnsi="Times New Roman" w:cs="Times New Roman"/>
          <w:b/>
          <w:sz w:val="24"/>
          <w:szCs w:val="24"/>
        </w:rPr>
      </w:pPr>
      <w:r w:rsidRPr="00D72C7B">
        <w:rPr>
          <w:rFonts w:ascii="Times New Roman" w:hAnsi="Times New Roman" w:cs="Times New Roman"/>
          <w:b/>
          <w:sz w:val="24"/>
          <w:szCs w:val="24"/>
        </w:rPr>
        <w:t>Инвестиции в основной капитал</w:t>
      </w:r>
    </w:p>
    <w:p w:rsidR="003F316C" w:rsidRPr="00D72C7B" w:rsidRDefault="003F316C" w:rsidP="003F316C">
      <w:pPr>
        <w:pStyle w:val="a8"/>
        <w:spacing w:line="276" w:lineRule="auto"/>
        <w:jc w:val="center"/>
        <w:rPr>
          <w:rFonts w:ascii="Times New Roman" w:hAnsi="Times New Roman" w:cs="Times New Roman"/>
          <w:b/>
          <w:sz w:val="24"/>
          <w:szCs w:val="24"/>
        </w:rPr>
      </w:pPr>
    </w:p>
    <w:p w:rsidR="003F316C" w:rsidRDefault="003F316C" w:rsidP="003F316C">
      <w:pPr>
        <w:pStyle w:val="a8"/>
        <w:spacing w:line="276" w:lineRule="auto"/>
        <w:ind w:firstLine="709"/>
        <w:jc w:val="both"/>
        <w:rPr>
          <w:rFonts w:ascii="Times New Roman" w:hAnsi="Times New Roman" w:cs="Times New Roman"/>
          <w:color w:val="000000"/>
          <w:sz w:val="24"/>
          <w:szCs w:val="24"/>
          <w:lang w:eastAsia="ru-RU"/>
        </w:rPr>
      </w:pPr>
      <w:r w:rsidRPr="004A1E95">
        <w:rPr>
          <w:rFonts w:ascii="Times New Roman" w:hAnsi="Times New Roman" w:cs="Times New Roman"/>
          <w:color w:val="000000"/>
          <w:sz w:val="24"/>
          <w:szCs w:val="24"/>
          <w:lang w:eastAsia="ru-RU"/>
        </w:rPr>
        <w:t xml:space="preserve">Прогноз развития инвестиционной деятельности в </w:t>
      </w:r>
      <w:r>
        <w:rPr>
          <w:rFonts w:ascii="Times New Roman" w:hAnsi="Times New Roman" w:cs="Times New Roman"/>
          <w:color w:val="000000"/>
          <w:sz w:val="24"/>
          <w:szCs w:val="24"/>
          <w:lang w:eastAsia="ru-RU"/>
        </w:rPr>
        <w:t xml:space="preserve">городском округе Тольятти </w:t>
      </w:r>
      <w:r w:rsidRPr="004A1E95">
        <w:rPr>
          <w:rFonts w:ascii="Times New Roman" w:hAnsi="Times New Roman" w:cs="Times New Roman"/>
          <w:color w:val="000000"/>
          <w:sz w:val="24"/>
          <w:szCs w:val="24"/>
          <w:lang w:eastAsia="ru-RU"/>
        </w:rPr>
        <w:t xml:space="preserve"> предполагает повышение инвестиционной активности.</w:t>
      </w:r>
    </w:p>
    <w:p w:rsidR="003F316C" w:rsidRDefault="003F316C" w:rsidP="003F316C">
      <w:pPr>
        <w:pStyle w:val="a8"/>
        <w:spacing w:line="276" w:lineRule="auto"/>
        <w:ind w:firstLine="709"/>
        <w:jc w:val="both"/>
        <w:rPr>
          <w:rFonts w:ascii="Times New Roman" w:hAnsi="Times New Roman" w:cs="Times New Roman"/>
          <w:color w:val="000000"/>
          <w:sz w:val="24"/>
          <w:szCs w:val="24"/>
          <w:lang w:eastAsia="ru-RU"/>
        </w:rPr>
      </w:pPr>
      <w:r w:rsidRPr="004A1E95">
        <w:rPr>
          <w:rFonts w:ascii="Times New Roman" w:hAnsi="Times New Roman" w:cs="Times New Roman"/>
          <w:color w:val="000000"/>
          <w:sz w:val="24"/>
          <w:szCs w:val="24"/>
          <w:lang w:eastAsia="ru-RU"/>
        </w:rPr>
        <w:t>Этому будет способствовать реализация федерального Плана действий по ускорению темпов роста инвестиций в основной капитал и увеличению до 25</w:t>
      </w:r>
      <w:r w:rsidR="007451F5">
        <w:rPr>
          <w:rFonts w:ascii="Times New Roman" w:hAnsi="Times New Roman" w:cs="Times New Roman"/>
          <w:color w:val="000000"/>
          <w:sz w:val="24"/>
          <w:szCs w:val="24"/>
          <w:lang w:eastAsia="ru-RU"/>
        </w:rPr>
        <w:t>,0</w:t>
      </w:r>
      <w:r w:rsidRPr="004A1E95">
        <w:rPr>
          <w:rFonts w:ascii="Times New Roman" w:hAnsi="Times New Roman" w:cs="Times New Roman"/>
          <w:color w:val="000000"/>
          <w:sz w:val="24"/>
          <w:szCs w:val="24"/>
          <w:lang w:eastAsia="ru-RU"/>
        </w:rPr>
        <w:t xml:space="preserve">% их доли  в валовом внутреннем продукте, предусматривающего комплекс общесистемных и отраслевых мер экономической политики по созданию условий для роста частных инвестиций. На региональном уровне продолжится работа по улучшению делового климата, сокращению административной нагрузки на предпринимателей. </w:t>
      </w:r>
    </w:p>
    <w:p w:rsidR="003F316C" w:rsidRDefault="003F316C" w:rsidP="003F316C">
      <w:pPr>
        <w:pStyle w:val="a8"/>
        <w:spacing w:line="276" w:lineRule="auto"/>
        <w:ind w:firstLine="709"/>
        <w:jc w:val="both"/>
        <w:rPr>
          <w:rFonts w:ascii="Times New Roman" w:hAnsi="Times New Roman" w:cs="Times New Roman"/>
          <w:color w:val="000000"/>
          <w:sz w:val="24"/>
          <w:szCs w:val="24"/>
          <w:lang w:eastAsia="ru-RU"/>
        </w:rPr>
      </w:pPr>
      <w:r w:rsidRPr="004A1E95">
        <w:rPr>
          <w:rFonts w:ascii="Times New Roman" w:hAnsi="Times New Roman" w:cs="Times New Roman"/>
          <w:color w:val="000000"/>
          <w:sz w:val="24"/>
          <w:szCs w:val="24"/>
          <w:lang w:eastAsia="ru-RU"/>
        </w:rPr>
        <w:t>Будут внедрены новые механизмы ст</w:t>
      </w:r>
      <w:r>
        <w:rPr>
          <w:rFonts w:ascii="Times New Roman" w:hAnsi="Times New Roman" w:cs="Times New Roman"/>
          <w:color w:val="000000"/>
          <w:sz w:val="24"/>
          <w:szCs w:val="24"/>
          <w:lang w:eastAsia="ru-RU"/>
        </w:rPr>
        <w:t>имулирования инвестиционной дея</w:t>
      </w:r>
      <w:r w:rsidRPr="004A1E95">
        <w:rPr>
          <w:rFonts w:ascii="Times New Roman" w:hAnsi="Times New Roman" w:cs="Times New Roman"/>
          <w:color w:val="000000"/>
          <w:sz w:val="24"/>
          <w:szCs w:val="24"/>
          <w:lang w:eastAsia="ru-RU"/>
        </w:rPr>
        <w:t xml:space="preserve">тельности: специальный инвестиционный контракт, региональный инвестиционный проект. В целях повышения эффективности работы также будет проведена реформа институтов развития региона. </w:t>
      </w:r>
      <w:r>
        <w:rPr>
          <w:rFonts w:ascii="Times New Roman" w:hAnsi="Times New Roman" w:cs="Times New Roman"/>
          <w:color w:val="000000"/>
          <w:sz w:val="24"/>
          <w:szCs w:val="24"/>
          <w:lang w:eastAsia="ru-RU"/>
        </w:rPr>
        <w:t>В</w:t>
      </w:r>
      <w:r w:rsidRPr="004A1E95">
        <w:rPr>
          <w:rFonts w:ascii="Times New Roman" w:hAnsi="Times New Roman" w:cs="Times New Roman"/>
          <w:color w:val="000000"/>
          <w:sz w:val="24"/>
          <w:szCs w:val="24"/>
          <w:lang w:eastAsia="ru-RU"/>
        </w:rPr>
        <w:t xml:space="preserve">ажная роль будет отводиться стимулированию инвестиционной активности через внедрение механизмов </w:t>
      </w:r>
      <w:r>
        <w:rPr>
          <w:rFonts w:ascii="Times New Roman" w:hAnsi="Times New Roman" w:cs="Times New Roman"/>
          <w:color w:val="000000"/>
          <w:sz w:val="24"/>
          <w:szCs w:val="24"/>
          <w:lang w:eastAsia="ru-RU"/>
        </w:rPr>
        <w:t xml:space="preserve">государственно-частного </w:t>
      </w:r>
      <w:r w:rsidR="007451F5">
        <w:rPr>
          <w:rFonts w:ascii="Times New Roman" w:hAnsi="Times New Roman" w:cs="Times New Roman"/>
          <w:color w:val="000000"/>
          <w:sz w:val="24"/>
          <w:szCs w:val="24"/>
          <w:lang w:eastAsia="ru-RU"/>
        </w:rPr>
        <w:t xml:space="preserve">(муниципально-частного) </w:t>
      </w:r>
      <w:r w:rsidRPr="003F5875">
        <w:rPr>
          <w:rFonts w:ascii="Times New Roman" w:hAnsi="Times New Roman" w:cs="Times New Roman"/>
          <w:color w:val="000000"/>
          <w:sz w:val="24"/>
          <w:szCs w:val="24"/>
          <w:lang w:eastAsia="ru-RU"/>
        </w:rPr>
        <w:t xml:space="preserve">партнерства. Точками активизации инвестиционной деятельности будет дальнейшее развитие Территории опережающего социально-экономического развития (далее </w:t>
      </w:r>
      <w:r>
        <w:rPr>
          <w:rFonts w:ascii="Times New Roman" w:hAnsi="Times New Roman" w:cs="Times New Roman"/>
          <w:color w:val="000000"/>
          <w:sz w:val="24"/>
          <w:szCs w:val="24"/>
          <w:lang w:eastAsia="ru-RU"/>
        </w:rPr>
        <w:t xml:space="preserve">по разделу </w:t>
      </w:r>
      <w:r w:rsidRPr="003F5875">
        <w:rPr>
          <w:rFonts w:ascii="Times New Roman" w:hAnsi="Times New Roman" w:cs="Times New Roman"/>
          <w:color w:val="000000"/>
          <w:sz w:val="24"/>
          <w:szCs w:val="24"/>
          <w:lang w:eastAsia="ru-RU"/>
        </w:rPr>
        <w:t>– ТОСЭР «Тольятти»), развитие крупных инвестиционных площадок.</w:t>
      </w:r>
    </w:p>
    <w:p w:rsidR="003F316C" w:rsidRDefault="003F316C" w:rsidP="0089746E">
      <w:pPr>
        <w:spacing w:after="0"/>
        <w:ind w:firstLine="709"/>
        <w:jc w:val="both"/>
        <w:rPr>
          <w:rFonts w:ascii="Times New Roman" w:hAnsi="Times New Roman"/>
          <w:color w:val="000000"/>
          <w:sz w:val="24"/>
          <w:szCs w:val="24"/>
          <w:highlight w:val="yellow"/>
        </w:rPr>
      </w:pPr>
      <w:r>
        <w:rPr>
          <w:rFonts w:ascii="Times New Roman" w:hAnsi="Times New Roman"/>
          <w:color w:val="000000"/>
          <w:sz w:val="24"/>
          <w:szCs w:val="24"/>
        </w:rPr>
        <w:t>В</w:t>
      </w:r>
      <w:r w:rsidRPr="004016E4">
        <w:rPr>
          <w:rFonts w:ascii="Times New Roman" w:hAnsi="Times New Roman"/>
          <w:color w:val="000000"/>
          <w:sz w:val="24"/>
          <w:szCs w:val="24"/>
        </w:rPr>
        <w:t xml:space="preserve"> 2020 году по консервативному варианту прогноза, под влиянием неблагоприятных факторов</w:t>
      </w:r>
      <w:r w:rsidR="008C2695">
        <w:rPr>
          <w:rFonts w:ascii="Times New Roman" w:hAnsi="Times New Roman"/>
          <w:color w:val="000000"/>
          <w:sz w:val="24"/>
          <w:szCs w:val="24"/>
        </w:rPr>
        <w:t xml:space="preserve"> (</w:t>
      </w:r>
      <w:r w:rsidR="008C2695" w:rsidRPr="008C2695">
        <w:rPr>
          <w:rFonts w:ascii="Times New Roman" w:hAnsi="Times New Roman"/>
          <w:color w:val="000000"/>
          <w:sz w:val="24"/>
          <w:szCs w:val="24"/>
        </w:rPr>
        <w:t>продолжение санкционного режима, жесткой по сравнению с базовым вариантом денежно-кредитной политики</w:t>
      </w:r>
      <w:r w:rsidR="008C2695">
        <w:rPr>
          <w:rFonts w:ascii="Times New Roman" w:hAnsi="Times New Roman"/>
          <w:color w:val="000000"/>
          <w:sz w:val="24"/>
          <w:szCs w:val="24"/>
        </w:rPr>
        <w:t>)</w:t>
      </w:r>
      <w:r w:rsidRPr="004016E4">
        <w:rPr>
          <w:rFonts w:ascii="Times New Roman" w:hAnsi="Times New Roman"/>
          <w:color w:val="000000"/>
          <w:sz w:val="24"/>
          <w:szCs w:val="24"/>
        </w:rPr>
        <w:t xml:space="preserve">, прогнозируется </w:t>
      </w:r>
      <w:r w:rsidR="00DD618D">
        <w:rPr>
          <w:rFonts w:ascii="Times New Roman" w:hAnsi="Times New Roman"/>
          <w:color w:val="000000"/>
          <w:sz w:val="24"/>
          <w:szCs w:val="24"/>
        </w:rPr>
        <w:t>умеренные</w:t>
      </w:r>
      <w:r w:rsidRPr="004016E4">
        <w:rPr>
          <w:rFonts w:ascii="Times New Roman" w:hAnsi="Times New Roman"/>
          <w:color w:val="000000"/>
          <w:sz w:val="24"/>
          <w:szCs w:val="24"/>
        </w:rPr>
        <w:t xml:space="preserve"> темпы роста объемов инвестиций в основной капитал. Общий объем инвестиций в 202</w:t>
      </w:r>
      <w:r w:rsidR="0089746E">
        <w:rPr>
          <w:rFonts w:ascii="Times New Roman" w:hAnsi="Times New Roman"/>
          <w:color w:val="000000"/>
          <w:sz w:val="24"/>
          <w:szCs w:val="24"/>
        </w:rPr>
        <w:t>2</w:t>
      </w:r>
      <w:r w:rsidRPr="004016E4">
        <w:rPr>
          <w:rFonts w:ascii="Times New Roman" w:hAnsi="Times New Roman"/>
          <w:color w:val="000000"/>
          <w:sz w:val="24"/>
          <w:szCs w:val="24"/>
        </w:rPr>
        <w:t xml:space="preserve"> году составит 3</w:t>
      </w:r>
      <w:r w:rsidR="00DD618D">
        <w:rPr>
          <w:rFonts w:ascii="Times New Roman" w:hAnsi="Times New Roman"/>
          <w:color w:val="000000"/>
          <w:sz w:val="24"/>
          <w:szCs w:val="24"/>
        </w:rPr>
        <w:t>6,4</w:t>
      </w:r>
      <w:r w:rsidRPr="004016E4">
        <w:rPr>
          <w:rFonts w:ascii="Times New Roman" w:hAnsi="Times New Roman"/>
          <w:color w:val="000000"/>
          <w:sz w:val="24"/>
          <w:szCs w:val="24"/>
        </w:rPr>
        <w:t xml:space="preserve"> млрд. руб</w:t>
      </w:r>
      <w:r w:rsidR="00DD618D">
        <w:rPr>
          <w:rFonts w:ascii="Times New Roman" w:hAnsi="Times New Roman"/>
          <w:color w:val="000000"/>
          <w:sz w:val="24"/>
          <w:szCs w:val="24"/>
        </w:rPr>
        <w:t>лей,</w:t>
      </w:r>
      <w:r>
        <w:rPr>
          <w:rFonts w:ascii="Times New Roman" w:hAnsi="Times New Roman"/>
          <w:color w:val="000000"/>
          <w:sz w:val="24"/>
          <w:szCs w:val="24"/>
        </w:rPr>
        <w:t xml:space="preserve"> </w:t>
      </w:r>
      <w:r w:rsidRPr="004016E4">
        <w:rPr>
          <w:rFonts w:ascii="Times New Roman" w:hAnsi="Times New Roman"/>
          <w:color w:val="000000"/>
          <w:sz w:val="24"/>
          <w:szCs w:val="24"/>
        </w:rPr>
        <w:t xml:space="preserve">что на </w:t>
      </w:r>
      <w:r w:rsidR="00DD618D">
        <w:rPr>
          <w:rFonts w:ascii="Times New Roman" w:hAnsi="Times New Roman"/>
          <w:color w:val="000000"/>
          <w:sz w:val="24"/>
          <w:szCs w:val="24"/>
        </w:rPr>
        <w:t xml:space="preserve">16,8% </w:t>
      </w:r>
      <w:r w:rsidRPr="004016E4">
        <w:rPr>
          <w:rFonts w:ascii="Times New Roman" w:hAnsi="Times New Roman"/>
          <w:color w:val="000000"/>
          <w:sz w:val="24"/>
          <w:szCs w:val="24"/>
        </w:rPr>
        <w:t xml:space="preserve">выше уровня 2019 года </w:t>
      </w:r>
      <w:r w:rsidR="00DD618D">
        <w:rPr>
          <w:rFonts w:ascii="Times New Roman" w:hAnsi="Times New Roman"/>
          <w:color w:val="000000"/>
          <w:sz w:val="24"/>
          <w:szCs w:val="24"/>
        </w:rPr>
        <w:t>в действующих ценах (на 3,4</w:t>
      </w:r>
      <w:r w:rsidR="00DD618D" w:rsidRPr="004016E4">
        <w:rPr>
          <w:rFonts w:ascii="Times New Roman" w:hAnsi="Times New Roman"/>
          <w:color w:val="000000"/>
          <w:sz w:val="24"/>
          <w:szCs w:val="24"/>
        </w:rPr>
        <w:t>%</w:t>
      </w:r>
      <w:r w:rsidR="00DD618D">
        <w:rPr>
          <w:rFonts w:ascii="Times New Roman" w:hAnsi="Times New Roman"/>
          <w:color w:val="000000"/>
          <w:sz w:val="24"/>
          <w:szCs w:val="24"/>
        </w:rPr>
        <w:t xml:space="preserve"> </w:t>
      </w:r>
      <w:r w:rsidRPr="004016E4">
        <w:rPr>
          <w:rFonts w:ascii="Times New Roman" w:hAnsi="Times New Roman"/>
          <w:color w:val="000000"/>
          <w:sz w:val="24"/>
          <w:szCs w:val="24"/>
        </w:rPr>
        <w:t>в сопоставимых ценах</w:t>
      </w:r>
      <w:r w:rsidR="00DD618D">
        <w:rPr>
          <w:rFonts w:ascii="Times New Roman" w:hAnsi="Times New Roman"/>
          <w:color w:val="000000"/>
          <w:sz w:val="24"/>
          <w:szCs w:val="24"/>
        </w:rPr>
        <w:t>)</w:t>
      </w:r>
      <w:r w:rsidRPr="004016E4">
        <w:rPr>
          <w:rFonts w:ascii="Times New Roman" w:hAnsi="Times New Roman"/>
          <w:color w:val="000000"/>
          <w:sz w:val="24"/>
          <w:szCs w:val="24"/>
        </w:rPr>
        <w:t>.</w:t>
      </w:r>
      <w:r w:rsidRPr="0096463D">
        <w:rPr>
          <w:rFonts w:ascii="Times New Roman" w:hAnsi="Times New Roman"/>
          <w:color w:val="000000"/>
          <w:sz w:val="24"/>
          <w:szCs w:val="24"/>
          <w:highlight w:val="yellow"/>
        </w:rPr>
        <w:t xml:space="preserve"> </w:t>
      </w:r>
    </w:p>
    <w:p w:rsidR="003F316C" w:rsidRPr="00C25C95" w:rsidRDefault="00DD618D" w:rsidP="0089746E">
      <w:pPr>
        <w:widowControl w:val="0"/>
        <w:tabs>
          <w:tab w:val="num" w:pos="0"/>
        </w:tabs>
        <w:suppressAutoHyphens/>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П</w:t>
      </w:r>
      <w:r w:rsidR="003F316C" w:rsidRPr="00C25C95">
        <w:rPr>
          <w:rFonts w:ascii="Times New Roman" w:hAnsi="Times New Roman"/>
          <w:color w:val="000000"/>
          <w:sz w:val="24"/>
          <w:szCs w:val="24"/>
        </w:rPr>
        <w:t xml:space="preserve">о базовому варианту прогноза </w:t>
      </w:r>
      <w:r>
        <w:rPr>
          <w:rFonts w:ascii="Times New Roman" w:hAnsi="Times New Roman"/>
          <w:color w:val="000000"/>
          <w:sz w:val="24"/>
          <w:szCs w:val="24"/>
        </w:rPr>
        <w:t xml:space="preserve">инвестиции в основной капитал будут расти более существенно и </w:t>
      </w:r>
      <w:r w:rsidR="003F316C" w:rsidRPr="00C25C95">
        <w:rPr>
          <w:rFonts w:ascii="Times New Roman" w:hAnsi="Times New Roman"/>
          <w:color w:val="000000"/>
          <w:sz w:val="24"/>
          <w:szCs w:val="24"/>
        </w:rPr>
        <w:t>состав</w:t>
      </w:r>
      <w:r>
        <w:rPr>
          <w:rFonts w:ascii="Times New Roman" w:hAnsi="Times New Roman"/>
          <w:color w:val="000000"/>
          <w:sz w:val="24"/>
          <w:szCs w:val="24"/>
        </w:rPr>
        <w:t>я</w:t>
      </w:r>
      <w:r w:rsidR="003F316C" w:rsidRPr="00C25C95">
        <w:rPr>
          <w:rFonts w:ascii="Times New Roman" w:hAnsi="Times New Roman"/>
          <w:color w:val="000000"/>
          <w:sz w:val="24"/>
          <w:szCs w:val="24"/>
        </w:rPr>
        <w:t xml:space="preserve">т </w:t>
      </w:r>
      <w:r>
        <w:rPr>
          <w:rFonts w:ascii="Times New Roman" w:hAnsi="Times New Roman"/>
          <w:color w:val="000000"/>
          <w:sz w:val="24"/>
          <w:szCs w:val="24"/>
        </w:rPr>
        <w:t xml:space="preserve">в 2022 году </w:t>
      </w:r>
      <w:r w:rsidR="003F316C" w:rsidRPr="00C25C95">
        <w:rPr>
          <w:rFonts w:ascii="Times New Roman" w:hAnsi="Times New Roman"/>
          <w:color w:val="000000"/>
          <w:sz w:val="24"/>
          <w:szCs w:val="24"/>
        </w:rPr>
        <w:t xml:space="preserve">42,3 млрд. рублей, что на </w:t>
      </w:r>
      <w:r>
        <w:rPr>
          <w:rFonts w:ascii="Times New Roman" w:hAnsi="Times New Roman"/>
          <w:color w:val="000000"/>
          <w:sz w:val="24"/>
          <w:szCs w:val="24"/>
        </w:rPr>
        <w:t>35,9</w:t>
      </w:r>
      <w:r w:rsidR="003F316C" w:rsidRPr="00C25C95">
        <w:rPr>
          <w:rFonts w:ascii="Times New Roman" w:hAnsi="Times New Roman"/>
          <w:color w:val="000000"/>
          <w:sz w:val="24"/>
          <w:szCs w:val="24"/>
        </w:rPr>
        <w:t xml:space="preserve">% выше уровня 2019 года </w:t>
      </w:r>
      <w:r>
        <w:rPr>
          <w:rFonts w:ascii="Times New Roman" w:hAnsi="Times New Roman"/>
          <w:color w:val="000000"/>
          <w:sz w:val="24"/>
          <w:szCs w:val="24"/>
        </w:rPr>
        <w:t xml:space="preserve">в действующих ценах </w:t>
      </w:r>
      <w:r w:rsidR="003F316C" w:rsidRPr="00C25C95">
        <w:rPr>
          <w:rFonts w:ascii="Times New Roman" w:hAnsi="Times New Roman"/>
          <w:color w:val="000000"/>
          <w:sz w:val="24"/>
          <w:szCs w:val="24"/>
        </w:rPr>
        <w:t>(на 20,6 % в сопоставимых ценах).</w:t>
      </w:r>
    </w:p>
    <w:p w:rsidR="003F316C" w:rsidRPr="00C25C95" w:rsidRDefault="003F316C" w:rsidP="003F316C">
      <w:pPr>
        <w:widowControl w:val="0"/>
        <w:tabs>
          <w:tab w:val="num" w:pos="0"/>
        </w:tabs>
        <w:suppressAutoHyphens/>
        <w:autoSpaceDE w:val="0"/>
        <w:spacing w:after="0"/>
        <w:ind w:firstLine="709"/>
        <w:jc w:val="both"/>
        <w:rPr>
          <w:rFonts w:ascii="Times New Roman" w:hAnsi="Times New Roman"/>
          <w:color w:val="000000"/>
          <w:sz w:val="24"/>
          <w:szCs w:val="24"/>
        </w:rPr>
      </w:pPr>
      <w:r w:rsidRPr="00C25C95">
        <w:rPr>
          <w:rFonts w:ascii="Times New Roman" w:hAnsi="Times New Roman"/>
          <w:color w:val="000000"/>
          <w:sz w:val="24"/>
          <w:szCs w:val="24"/>
        </w:rPr>
        <w:t>Расчет прогноза инвестиций в основной капитал произведен на основании планов по реализации инвестиционных проектов ведущих предприятий города, резидентов ТОСЭР</w:t>
      </w:r>
      <w:r>
        <w:rPr>
          <w:rFonts w:ascii="Times New Roman" w:hAnsi="Times New Roman"/>
          <w:color w:val="000000"/>
          <w:sz w:val="24"/>
          <w:szCs w:val="24"/>
        </w:rPr>
        <w:t xml:space="preserve"> «Тольятти»</w:t>
      </w:r>
      <w:r w:rsidRPr="00C25C95">
        <w:rPr>
          <w:rFonts w:ascii="Times New Roman" w:hAnsi="Times New Roman"/>
          <w:color w:val="000000"/>
          <w:sz w:val="24"/>
          <w:szCs w:val="24"/>
        </w:rPr>
        <w:t>, а также проектов, финансируемых за счет бюджетных средств.</w:t>
      </w:r>
    </w:p>
    <w:p w:rsidR="003F316C" w:rsidRDefault="003F316C" w:rsidP="003F316C">
      <w:pPr>
        <w:widowControl w:val="0"/>
        <w:tabs>
          <w:tab w:val="num" w:pos="0"/>
        </w:tabs>
        <w:suppressAutoHyphens/>
        <w:autoSpaceDE w:val="0"/>
        <w:spacing w:after="0"/>
        <w:ind w:firstLine="709"/>
        <w:jc w:val="both"/>
        <w:rPr>
          <w:rFonts w:ascii="Times New Roman" w:hAnsi="Times New Roman"/>
          <w:color w:val="000000"/>
          <w:sz w:val="24"/>
          <w:szCs w:val="24"/>
        </w:rPr>
      </w:pPr>
      <w:r w:rsidRPr="00C25C95">
        <w:rPr>
          <w:rFonts w:ascii="Times New Roman" w:hAnsi="Times New Roman"/>
          <w:color w:val="000000"/>
          <w:sz w:val="24"/>
          <w:szCs w:val="24"/>
        </w:rPr>
        <w:t>Основная часть инвестиций в городском округе Тольятти по-прежнему будет осуществляться ведущими предприятиями автомобильной и химической промышленности. Тем не менее, доля инвестиций в других секторах экономики будет постепенно увеличиваться.</w:t>
      </w:r>
    </w:p>
    <w:p w:rsidR="003F316C" w:rsidRPr="00BF0114" w:rsidRDefault="003F316C" w:rsidP="003F316C">
      <w:pPr>
        <w:widowControl w:val="0"/>
        <w:spacing w:after="0"/>
        <w:ind w:right="2" w:firstLine="708"/>
        <w:jc w:val="both"/>
        <w:rPr>
          <w:rFonts w:ascii="Times New Roman" w:hAnsi="Times New Roman"/>
          <w:spacing w:val="-2"/>
          <w:sz w:val="24"/>
          <w:szCs w:val="24"/>
        </w:rPr>
      </w:pPr>
      <w:r w:rsidRPr="00BF0114">
        <w:rPr>
          <w:rFonts w:ascii="Times New Roman" w:hAnsi="Times New Roman"/>
          <w:spacing w:val="-2"/>
          <w:sz w:val="24"/>
          <w:szCs w:val="24"/>
        </w:rPr>
        <w:t xml:space="preserve">АО «АВТОВАЗ» в соответствии со среднесрочным планом развития на 2017 – 2026 годы продолжит реализацию инвестиционных проектов по организации производства новых моделей автомобилей, в том числе автомобилей 4х4 </w:t>
      </w:r>
      <w:r w:rsidRPr="00BF0114">
        <w:rPr>
          <w:rFonts w:ascii="Times New Roman" w:hAnsi="Times New Roman"/>
          <w:spacing w:val="-2"/>
          <w:sz w:val="24"/>
          <w:szCs w:val="24"/>
          <w:lang w:val="en-US"/>
        </w:rPr>
        <w:t>NG</w:t>
      </w:r>
      <w:r w:rsidRPr="00BF0114">
        <w:rPr>
          <w:rFonts w:ascii="Times New Roman" w:hAnsi="Times New Roman"/>
          <w:spacing w:val="-2"/>
          <w:sz w:val="24"/>
          <w:szCs w:val="24"/>
        </w:rPr>
        <w:t xml:space="preserve">. В декабре 2018 года Самарская область, АО «АВТОВАЗ» и Министерство промышленности и торговли Российской Федерации подписали первый специальный инвестиционный контракт. Альянс </w:t>
      </w:r>
      <w:r w:rsidRPr="00BF0114">
        <w:rPr>
          <w:rFonts w:ascii="Times New Roman" w:hAnsi="Times New Roman"/>
          <w:spacing w:val="-2"/>
          <w:sz w:val="24"/>
          <w:szCs w:val="24"/>
        </w:rPr>
        <w:lastRenderedPageBreak/>
        <w:t xml:space="preserve">«Рено-Ниссан-Мицубиси» и его партнеры взяли на себя обязательства до 2025 года локализовать производство 26 моделей, создать российское производство автоматических коробок передач и современных двигателей. Объем инвестиций составит не менее 70 млрд. рублей (актуальный прогноз на 2020-2022 годы предприятие не представило). </w:t>
      </w:r>
    </w:p>
    <w:p w:rsidR="003F316C" w:rsidRPr="004476E0" w:rsidRDefault="003F316C" w:rsidP="003F316C">
      <w:pPr>
        <w:pStyle w:val="af1"/>
        <w:tabs>
          <w:tab w:val="num" w:pos="0"/>
        </w:tabs>
        <w:spacing w:line="276" w:lineRule="auto"/>
        <w:rPr>
          <w:sz w:val="24"/>
          <w:szCs w:val="24"/>
        </w:rPr>
      </w:pPr>
      <w:r w:rsidRPr="004476E0">
        <w:rPr>
          <w:sz w:val="24"/>
          <w:szCs w:val="24"/>
        </w:rPr>
        <w:t>В прогнозном периоде ЗАО «Джи-Эм АВТОВАЗ» продолжит освоение производства обновленной версии Шевроле НИВА (срок реализации проекта – 2021 г.).</w:t>
      </w:r>
    </w:p>
    <w:p w:rsidR="003F316C" w:rsidRDefault="003F316C" w:rsidP="003F316C">
      <w:pPr>
        <w:pStyle w:val="af1"/>
        <w:tabs>
          <w:tab w:val="num" w:pos="0"/>
        </w:tabs>
        <w:spacing w:line="276" w:lineRule="auto"/>
        <w:rPr>
          <w:sz w:val="24"/>
          <w:szCs w:val="24"/>
        </w:rPr>
      </w:pPr>
      <w:r w:rsidRPr="004476E0">
        <w:rPr>
          <w:sz w:val="24"/>
          <w:szCs w:val="24"/>
        </w:rPr>
        <w:t xml:space="preserve">В химической отрасли планируется реализация инвестиционных проектов по реконструкции действующего производственного оборудования и строительство новых </w:t>
      </w:r>
      <w:r w:rsidRPr="00BF0114">
        <w:rPr>
          <w:sz w:val="24"/>
          <w:szCs w:val="24"/>
        </w:rPr>
        <w:t xml:space="preserve">производств. </w:t>
      </w:r>
    </w:p>
    <w:p w:rsidR="003F316C" w:rsidRPr="00BF0114" w:rsidRDefault="003F316C" w:rsidP="003F316C">
      <w:pPr>
        <w:widowControl w:val="0"/>
        <w:spacing w:after="0"/>
        <w:ind w:right="2" w:firstLine="708"/>
        <w:jc w:val="both"/>
        <w:rPr>
          <w:rFonts w:ascii="Times New Roman" w:hAnsi="Times New Roman"/>
          <w:spacing w:val="-2"/>
          <w:sz w:val="24"/>
          <w:szCs w:val="24"/>
        </w:rPr>
      </w:pPr>
      <w:r w:rsidRPr="00BF0114">
        <w:rPr>
          <w:rFonts w:ascii="Times New Roman" w:hAnsi="Times New Roman"/>
          <w:spacing w:val="-2"/>
          <w:sz w:val="24"/>
          <w:szCs w:val="24"/>
        </w:rPr>
        <w:t>В 2020 – 2022 годах крупнейшие проекты ПАО «КуйбышевАзот» – строительство нового энергоэффективного агрегата карбамида совместно с итальянской компанией MET Development S.p.A, а также агрегатов по производству слабой азотной кислоты и аммиачной селитры. На ПАО «Тольяттиазот» завершится строительство третьего агрегата карбамида и реконструкция биологических очистных сооружений.</w:t>
      </w:r>
      <w:r w:rsidR="009F49DC">
        <w:rPr>
          <w:rFonts w:ascii="Times New Roman" w:hAnsi="Times New Roman"/>
          <w:spacing w:val="-2"/>
          <w:sz w:val="24"/>
          <w:szCs w:val="24"/>
        </w:rPr>
        <w:t xml:space="preserve"> </w:t>
      </w:r>
      <w:r w:rsidRPr="00BF0114">
        <w:rPr>
          <w:rFonts w:ascii="Times New Roman" w:hAnsi="Times New Roman"/>
          <w:spacing w:val="-2"/>
          <w:sz w:val="24"/>
          <w:szCs w:val="24"/>
        </w:rPr>
        <w:t>Продолжится техническое перевооружение в ООО «СИБУР Тольятти»</w:t>
      </w:r>
      <w:r>
        <w:rPr>
          <w:rFonts w:ascii="Times New Roman" w:hAnsi="Times New Roman"/>
          <w:spacing w:val="-2"/>
          <w:sz w:val="24"/>
          <w:szCs w:val="24"/>
        </w:rPr>
        <w:t>.</w:t>
      </w:r>
      <w:r w:rsidRPr="00BF0114">
        <w:rPr>
          <w:rFonts w:ascii="Times New Roman" w:hAnsi="Times New Roman"/>
          <w:spacing w:val="-2"/>
          <w:sz w:val="24"/>
          <w:szCs w:val="24"/>
        </w:rPr>
        <w:t xml:space="preserve"> </w:t>
      </w:r>
    </w:p>
    <w:p w:rsidR="003F316C" w:rsidRPr="004476E0" w:rsidRDefault="003F316C" w:rsidP="003F316C">
      <w:pPr>
        <w:pStyle w:val="af1"/>
        <w:tabs>
          <w:tab w:val="left" w:pos="851"/>
          <w:tab w:val="left" w:pos="993"/>
        </w:tabs>
        <w:spacing w:line="276" w:lineRule="auto"/>
        <w:rPr>
          <w:sz w:val="24"/>
          <w:szCs w:val="24"/>
          <w:lang w:eastAsia="ru-RU"/>
        </w:rPr>
      </w:pPr>
      <w:r w:rsidRPr="004476E0">
        <w:rPr>
          <w:sz w:val="24"/>
          <w:szCs w:val="24"/>
        </w:rPr>
        <w:t xml:space="preserve">Важную роль в повышении привлекательности городского округа Тольятти как места для вложения инвестиций и ведения бизнеса оказывает </w:t>
      </w:r>
      <w:r w:rsidRPr="004476E0">
        <w:rPr>
          <w:sz w:val="24"/>
          <w:szCs w:val="24"/>
          <w:lang w:eastAsia="ru-RU"/>
        </w:rPr>
        <w:t xml:space="preserve">реализация проекта </w:t>
      </w:r>
      <w:r w:rsidR="002C7852">
        <w:rPr>
          <w:sz w:val="24"/>
          <w:szCs w:val="24"/>
          <w:lang w:eastAsia="ru-RU"/>
        </w:rPr>
        <w:t>ТОСЭР «Тольятти»</w:t>
      </w:r>
      <w:r w:rsidRPr="004476E0">
        <w:rPr>
          <w:sz w:val="24"/>
          <w:szCs w:val="24"/>
          <w:lang w:eastAsia="ru-RU"/>
        </w:rPr>
        <w:t xml:space="preserve">, что позволит привлечь в Тольятти инвестиции и создать новые рабочие места. </w:t>
      </w:r>
    </w:p>
    <w:p w:rsidR="003F316C" w:rsidRPr="007531AB" w:rsidRDefault="003F316C" w:rsidP="003F316C">
      <w:pPr>
        <w:spacing w:after="0"/>
        <w:ind w:firstLine="709"/>
        <w:jc w:val="both"/>
        <w:rPr>
          <w:rFonts w:ascii="Times New Roman" w:hAnsi="Times New Roman"/>
          <w:sz w:val="24"/>
          <w:szCs w:val="24"/>
        </w:rPr>
      </w:pPr>
      <w:r w:rsidRPr="007531AB">
        <w:rPr>
          <w:rFonts w:ascii="Times New Roman" w:hAnsi="Times New Roman"/>
          <w:sz w:val="24"/>
          <w:szCs w:val="24"/>
        </w:rPr>
        <w:t>В прогнозном периоде (2019-2022 гг.) объем инвестиций резидентов ТОСЭР «Тольятти» предполагается в объеме около 32,4 млрд. руб</w:t>
      </w:r>
      <w:r w:rsidR="007451F5">
        <w:rPr>
          <w:rFonts w:ascii="Times New Roman" w:hAnsi="Times New Roman"/>
          <w:sz w:val="24"/>
          <w:szCs w:val="24"/>
        </w:rPr>
        <w:t>лей</w:t>
      </w:r>
      <w:r>
        <w:rPr>
          <w:rFonts w:ascii="Times New Roman" w:hAnsi="Times New Roman"/>
          <w:sz w:val="24"/>
          <w:szCs w:val="24"/>
        </w:rPr>
        <w:t>, или 22</w:t>
      </w:r>
      <w:r w:rsidR="007451F5">
        <w:rPr>
          <w:rFonts w:ascii="Times New Roman" w:hAnsi="Times New Roman"/>
          <w:sz w:val="24"/>
          <w:szCs w:val="24"/>
        </w:rPr>
        <w:t>,0</w:t>
      </w:r>
      <w:r>
        <w:rPr>
          <w:rFonts w:ascii="Times New Roman" w:hAnsi="Times New Roman"/>
          <w:sz w:val="24"/>
          <w:szCs w:val="24"/>
        </w:rPr>
        <w:t>% всех инвестиций по городу за указанный период времени (по базовому варианту прогноза).</w:t>
      </w:r>
    </w:p>
    <w:p w:rsidR="003F316C" w:rsidRPr="007531AB" w:rsidRDefault="003F316C" w:rsidP="003F316C">
      <w:pPr>
        <w:widowControl w:val="0"/>
        <w:spacing w:after="0"/>
        <w:ind w:right="2" w:firstLine="709"/>
        <w:jc w:val="both"/>
        <w:rPr>
          <w:rFonts w:ascii="Times New Roman" w:hAnsi="Times New Roman"/>
          <w:spacing w:val="-2"/>
          <w:sz w:val="24"/>
          <w:szCs w:val="24"/>
        </w:rPr>
      </w:pPr>
      <w:r w:rsidRPr="007531AB">
        <w:rPr>
          <w:rFonts w:ascii="Times New Roman" w:hAnsi="Times New Roman"/>
          <w:spacing w:val="-2"/>
          <w:sz w:val="24"/>
          <w:szCs w:val="24"/>
        </w:rPr>
        <w:t xml:space="preserve">В производстве строительных материалов резидент ТОСЭР «Тольятти» </w:t>
      </w:r>
      <w:r w:rsidR="002C7852">
        <w:rPr>
          <w:rFonts w:ascii="Times New Roman" w:hAnsi="Times New Roman"/>
          <w:spacing w:val="-2"/>
          <w:sz w:val="24"/>
          <w:szCs w:val="24"/>
        </w:rPr>
        <w:t xml:space="preserve">- </w:t>
      </w:r>
      <w:r w:rsidRPr="007531AB">
        <w:rPr>
          <w:rFonts w:ascii="Times New Roman" w:hAnsi="Times New Roman"/>
          <w:spacing w:val="-2"/>
          <w:sz w:val="24"/>
          <w:szCs w:val="24"/>
        </w:rPr>
        <w:t xml:space="preserve">ООО «Завод ЖБИ ФЛОРКОН» намерен реализовать проект по созданию быстроразвертываемого высокотехнологичного производства железобетонных изделий. </w:t>
      </w:r>
    </w:p>
    <w:p w:rsidR="003F316C" w:rsidRPr="007531AB" w:rsidRDefault="003F316C" w:rsidP="003F316C">
      <w:pPr>
        <w:widowControl w:val="0"/>
        <w:spacing w:after="0"/>
        <w:ind w:right="2" w:firstLine="708"/>
        <w:jc w:val="both"/>
        <w:rPr>
          <w:rFonts w:ascii="Times New Roman" w:hAnsi="Times New Roman"/>
          <w:spacing w:val="-2"/>
          <w:sz w:val="24"/>
          <w:szCs w:val="24"/>
        </w:rPr>
      </w:pPr>
      <w:r w:rsidRPr="007531AB">
        <w:rPr>
          <w:rFonts w:ascii="Times New Roman" w:hAnsi="Times New Roman"/>
          <w:spacing w:val="-2"/>
          <w:sz w:val="24"/>
          <w:szCs w:val="24"/>
        </w:rPr>
        <w:t xml:space="preserve">В производстве электрического оборудования резидент ТОСЭР «Тольятти» </w:t>
      </w:r>
      <w:r w:rsidR="002C7852">
        <w:rPr>
          <w:rFonts w:ascii="Times New Roman" w:hAnsi="Times New Roman"/>
          <w:spacing w:val="-2"/>
          <w:sz w:val="24"/>
          <w:szCs w:val="24"/>
        </w:rPr>
        <w:t xml:space="preserve">- </w:t>
      </w:r>
      <w:r w:rsidRPr="007531AB">
        <w:rPr>
          <w:rFonts w:ascii="Times New Roman" w:hAnsi="Times New Roman"/>
          <w:spacing w:val="-2"/>
          <w:sz w:val="24"/>
          <w:szCs w:val="24"/>
        </w:rPr>
        <w:t>АО «АКОМ» планирует организовать производство промышленных свинцовых аккумуляторных батарей. Еще один резидент ТОСЭР «Тольятти»  – ООО «Валео Технолоджи Рус» – намерен реализовать проект по</w:t>
      </w:r>
      <w:r w:rsidRPr="007531AB">
        <w:rPr>
          <w:rFonts w:ascii="Times New Roman" w:hAnsi="Times New Roman"/>
          <w:sz w:val="24"/>
          <w:szCs w:val="24"/>
        </w:rPr>
        <w:t xml:space="preserve"> </w:t>
      </w:r>
      <w:r w:rsidRPr="007531AB">
        <w:rPr>
          <w:rFonts w:ascii="Times New Roman" w:hAnsi="Times New Roman"/>
          <w:spacing w:val="-2"/>
          <w:sz w:val="24"/>
          <w:szCs w:val="24"/>
        </w:rPr>
        <w:t xml:space="preserve">производству компонентов и систем для автомобильной индустрии.  </w:t>
      </w:r>
    </w:p>
    <w:p w:rsidR="003F316C" w:rsidRPr="007531AB" w:rsidRDefault="003F316C" w:rsidP="003F316C">
      <w:pPr>
        <w:widowControl w:val="0"/>
        <w:spacing w:after="0"/>
        <w:ind w:right="2" w:firstLine="708"/>
        <w:jc w:val="both"/>
        <w:rPr>
          <w:rFonts w:ascii="Times New Roman" w:hAnsi="Times New Roman"/>
          <w:spacing w:val="-2"/>
          <w:sz w:val="24"/>
          <w:szCs w:val="24"/>
        </w:rPr>
      </w:pPr>
      <w:r w:rsidRPr="007531AB">
        <w:rPr>
          <w:rFonts w:ascii="Times New Roman" w:hAnsi="Times New Roman"/>
          <w:spacing w:val="-2"/>
          <w:sz w:val="24"/>
          <w:szCs w:val="24"/>
        </w:rPr>
        <w:t xml:space="preserve">В  производстве пищевых продуктов резидентом ТОСЭР «Тольятти» </w:t>
      </w:r>
      <w:r w:rsidR="002C7852">
        <w:rPr>
          <w:rFonts w:ascii="Times New Roman" w:hAnsi="Times New Roman"/>
          <w:spacing w:val="-2"/>
          <w:sz w:val="24"/>
          <w:szCs w:val="24"/>
        </w:rPr>
        <w:t xml:space="preserve">- </w:t>
      </w:r>
      <w:r w:rsidRPr="007531AB">
        <w:rPr>
          <w:rFonts w:ascii="Times New Roman" w:hAnsi="Times New Roman"/>
          <w:spacing w:val="-2"/>
          <w:sz w:val="24"/>
          <w:szCs w:val="24"/>
        </w:rPr>
        <w:t>ОАО «КАРАТ-Тольятти» будет реализован крупный проект по строительству завода по производству твердых, сливочных, творожных и других типов сыров.</w:t>
      </w:r>
    </w:p>
    <w:p w:rsidR="003F316C" w:rsidRPr="00F64C7C" w:rsidRDefault="003F316C" w:rsidP="002C7852">
      <w:pPr>
        <w:widowControl w:val="0"/>
        <w:spacing w:after="0"/>
        <w:ind w:firstLine="709"/>
        <w:jc w:val="both"/>
        <w:rPr>
          <w:rFonts w:ascii="Times New Roman" w:hAnsi="Times New Roman"/>
          <w:sz w:val="24"/>
          <w:szCs w:val="24"/>
        </w:rPr>
      </w:pPr>
      <w:r w:rsidRPr="00A3281A">
        <w:rPr>
          <w:rFonts w:ascii="Times New Roman" w:hAnsi="Times New Roman"/>
          <w:sz w:val="24"/>
          <w:szCs w:val="24"/>
        </w:rPr>
        <w:t xml:space="preserve">В прогнозном периоде продолжится развитие крупных инвестиционных площадок </w:t>
      </w:r>
      <w:r w:rsidR="002C7852">
        <w:rPr>
          <w:rFonts w:ascii="Times New Roman" w:hAnsi="Times New Roman"/>
          <w:sz w:val="24"/>
          <w:szCs w:val="24"/>
        </w:rPr>
        <w:t xml:space="preserve">города: </w:t>
      </w:r>
      <w:r w:rsidRPr="005078BD">
        <w:rPr>
          <w:rFonts w:ascii="Times New Roman" w:hAnsi="Times New Roman"/>
          <w:sz w:val="24"/>
          <w:szCs w:val="24"/>
        </w:rPr>
        <w:t xml:space="preserve">проекта «Жигулевская долина 2» </w:t>
      </w:r>
      <w:r w:rsidR="002C7852">
        <w:rPr>
          <w:rFonts w:ascii="Times New Roman" w:hAnsi="Times New Roman"/>
          <w:sz w:val="24"/>
          <w:szCs w:val="24"/>
        </w:rPr>
        <w:t>(</w:t>
      </w:r>
      <w:r w:rsidRPr="005078BD">
        <w:rPr>
          <w:rFonts w:ascii="Times New Roman" w:hAnsi="Times New Roman"/>
          <w:sz w:val="24"/>
          <w:szCs w:val="24"/>
        </w:rPr>
        <w:t xml:space="preserve">срок реализации </w:t>
      </w:r>
      <w:r w:rsidR="002C7852">
        <w:rPr>
          <w:rFonts w:ascii="Times New Roman" w:hAnsi="Times New Roman"/>
          <w:sz w:val="24"/>
          <w:szCs w:val="24"/>
        </w:rPr>
        <w:t>-</w:t>
      </w:r>
      <w:r w:rsidRPr="005078BD">
        <w:rPr>
          <w:rFonts w:ascii="Times New Roman" w:hAnsi="Times New Roman"/>
          <w:sz w:val="24"/>
          <w:szCs w:val="24"/>
        </w:rPr>
        <w:t xml:space="preserve"> 2020 год</w:t>
      </w:r>
      <w:r w:rsidR="002C7852">
        <w:rPr>
          <w:rFonts w:ascii="Times New Roman" w:hAnsi="Times New Roman"/>
          <w:sz w:val="24"/>
          <w:szCs w:val="24"/>
        </w:rPr>
        <w:t xml:space="preserve">), </w:t>
      </w:r>
      <w:r w:rsidRPr="008F28BC">
        <w:rPr>
          <w:rFonts w:ascii="Times New Roman" w:hAnsi="Times New Roman"/>
          <w:sz w:val="24"/>
          <w:szCs w:val="24"/>
        </w:rPr>
        <w:t>частного Индустриального парка «Тольяттисинтез</w:t>
      </w:r>
      <w:r w:rsidR="002C7852">
        <w:rPr>
          <w:rFonts w:ascii="Times New Roman" w:hAnsi="Times New Roman"/>
          <w:sz w:val="24"/>
          <w:szCs w:val="24"/>
        </w:rPr>
        <w:t>»</w:t>
      </w:r>
      <w:r w:rsidRPr="008F28BC">
        <w:rPr>
          <w:rFonts w:ascii="Times New Roman" w:hAnsi="Times New Roman"/>
          <w:sz w:val="24"/>
          <w:szCs w:val="24"/>
        </w:rPr>
        <w:t>.</w:t>
      </w:r>
    </w:p>
    <w:p w:rsidR="003F316C" w:rsidRDefault="003F316C" w:rsidP="003F316C">
      <w:pPr>
        <w:spacing w:after="0"/>
        <w:ind w:firstLine="709"/>
        <w:jc w:val="both"/>
        <w:rPr>
          <w:rFonts w:ascii="Times New Roman" w:hAnsi="Times New Roman"/>
          <w:sz w:val="24"/>
          <w:szCs w:val="24"/>
        </w:rPr>
      </w:pPr>
      <w:r>
        <w:rPr>
          <w:rFonts w:ascii="Times New Roman" w:hAnsi="Times New Roman"/>
          <w:sz w:val="24"/>
          <w:szCs w:val="24"/>
        </w:rPr>
        <w:t>Продолжи</w:t>
      </w:r>
      <w:r w:rsidRPr="00F64C7C">
        <w:rPr>
          <w:rFonts w:ascii="Times New Roman" w:hAnsi="Times New Roman"/>
          <w:sz w:val="24"/>
          <w:szCs w:val="24"/>
        </w:rPr>
        <w:t>тся развитие Особой экономической зоны промышленно-производственного типа «Тольятти» (далее по разделу - ОЭЗ «Тольятти») – одной из наиболее привлекательных площадок для инвестиций, направленной на реализацию проектов отраслей машиностроения, нефтехимического производства, легкой промышленности, производства строительных материалов и другое.</w:t>
      </w:r>
    </w:p>
    <w:p w:rsidR="003F316C" w:rsidRPr="00F64C7C" w:rsidRDefault="003F316C" w:rsidP="003F316C">
      <w:pPr>
        <w:spacing w:after="0"/>
        <w:ind w:firstLine="709"/>
        <w:jc w:val="both"/>
        <w:rPr>
          <w:rFonts w:ascii="Times New Roman" w:hAnsi="Times New Roman"/>
          <w:sz w:val="24"/>
          <w:szCs w:val="24"/>
        </w:rPr>
      </w:pPr>
      <w:r>
        <w:rPr>
          <w:rFonts w:ascii="Times New Roman" w:hAnsi="Times New Roman"/>
          <w:sz w:val="24"/>
          <w:szCs w:val="24"/>
        </w:rPr>
        <w:t xml:space="preserve">Количество  компаний - резидентов  ОЭЗ «Тольятти» к 2022 году достигнет 34 единицы,  будет создано 3318 </w:t>
      </w:r>
      <w:r w:rsidR="001970B8" w:rsidRPr="001970B8">
        <w:rPr>
          <w:rFonts w:ascii="Times New Roman" w:hAnsi="Times New Roman"/>
          <w:sz w:val="24"/>
          <w:szCs w:val="24"/>
        </w:rPr>
        <w:t xml:space="preserve">рабочих </w:t>
      </w:r>
      <w:r>
        <w:rPr>
          <w:rFonts w:ascii="Times New Roman" w:hAnsi="Times New Roman"/>
          <w:sz w:val="24"/>
          <w:szCs w:val="24"/>
        </w:rPr>
        <w:t>мест, объем инвестиций достигнет 3,6 млрд. руб</w:t>
      </w:r>
      <w:r w:rsidR="00DD618D">
        <w:rPr>
          <w:rFonts w:ascii="Times New Roman" w:hAnsi="Times New Roman"/>
          <w:sz w:val="24"/>
          <w:szCs w:val="24"/>
        </w:rPr>
        <w:t>лей</w:t>
      </w:r>
      <w:r>
        <w:rPr>
          <w:rFonts w:ascii="Times New Roman" w:hAnsi="Times New Roman"/>
          <w:sz w:val="24"/>
          <w:szCs w:val="24"/>
        </w:rPr>
        <w:t>.</w:t>
      </w:r>
    </w:p>
    <w:p w:rsidR="003F316C" w:rsidRPr="00736F04" w:rsidRDefault="003F316C" w:rsidP="003F316C">
      <w:pPr>
        <w:widowControl w:val="0"/>
        <w:spacing w:after="0"/>
        <w:ind w:firstLine="709"/>
        <w:jc w:val="both"/>
        <w:rPr>
          <w:rFonts w:ascii="Times New Roman" w:hAnsi="Times New Roman"/>
          <w:sz w:val="24"/>
          <w:szCs w:val="24"/>
        </w:rPr>
      </w:pPr>
      <w:r w:rsidRPr="00736F04">
        <w:rPr>
          <w:rFonts w:ascii="Times New Roman" w:hAnsi="Times New Roman"/>
          <w:sz w:val="24"/>
          <w:szCs w:val="24"/>
        </w:rPr>
        <w:t xml:space="preserve">В регионе будет продолжена работа по структурированию и подготовке к </w:t>
      </w:r>
      <w:r w:rsidRPr="00736F04">
        <w:rPr>
          <w:rFonts w:ascii="Times New Roman" w:hAnsi="Times New Roman"/>
          <w:sz w:val="24"/>
          <w:szCs w:val="24"/>
        </w:rPr>
        <w:lastRenderedPageBreak/>
        <w:t>реализации масштабных инфраструктурных проектов, направленных на усиление связанности внутри Самарско-Тольяттинской агломерации и ее встраивание в международные транспортные коридоры.</w:t>
      </w:r>
    </w:p>
    <w:p w:rsidR="003F316C" w:rsidRPr="0042594B" w:rsidRDefault="003F316C" w:rsidP="003F316C">
      <w:pPr>
        <w:widowControl w:val="0"/>
        <w:spacing w:after="0"/>
        <w:ind w:firstLine="709"/>
        <w:jc w:val="both"/>
        <w:rPr>
          <w:rFonts w:ascii="Times New Roman" w:hAnsi="Times New Roman"/>
          <w:sz w:val="24"/>
          <w:szCs w:val="24"/>
        </w:rPr>
      </w:pPr>
      <w:r w:rsidRPr="00736F04">
        <w:rPr>
          <w:rFonts w:ascii="Times New Roman" w:hAnsi="Times New Roman"/>
          <w:sz w:val="24"/>
          <w:szCs w:val="24"/>
        </w:rPr>
        <w:t>Будет актуализирована Схема территориального планирования Самарско-Тольяттинской агломерации с учетом стратегии развития, а также программы развития транспортной инфраструктуры муниципальных образований в составе СТА. Завершающим элементом данной работы должно стать приведение в соответствие со Схемой территориального планирования СТА генеральн</w:t>
      </w:r>
      <w:r>
        <w:rPr>
          <w:rFonts w:ascii="Times New Roman" w:hAnsi="Times New Roman"/>
          <w:sz w:val="24"/>
          <w:szCs w:val="24"/>
        </w:rPr>
        <w:t>ого</w:t>
      </w:r>
      <w:r w:rsidRPr="00736F04">
        <w:rPr>
          <w:rFonts w:ascii="Times New Roman" w:hAnsi="Times New Roman"/>
          <w:sz w:val="24"/>
          <w:szCs w:val="24"/>
        </w:rPr>
        <w:t xml:space="preserve"> план</w:t>
      </w:r>
      <w:r>
        <w:rPr>
          <w:rFonts w:ascii="Times New Roman" w:hAnsi="Times New Roman"/>
          <w:sz w:val="24"/>
          <w:szCs w:val="24"/>
        </w:rPr>
        <w:t>а</w:t>
      </w:r>
      <w:r w:rsidRPr="00736F04">
        <w:rPr>
          <w:rFonts w:ascii="Times New Roman" w:hAnsi="Times New Roman"/>
          <w:sz w:val="24"/>
          <w:szCs w:val="24"/>
        </w:rPr>
        <w:t xml:space="preserve"> городск</w:t>
      </w:r>
      <w:r>
        <w:rPr>
          <w:rFonts w:ascii="Times New Roman" w:hAnsi="Times New Roman"/>
          <w:sz w:val="24"/>
          <w:szCs w:val="24"/>
        </w:rPr>
        <w:t>ого</w:t>
      </w:r>
      <w:r w:rsidRPr="00736F04">
        <w:rPr>
          <w:rFonts w:ascii="Times New Roman" w:hAnsi="Times New Roman"/>
          <w:sz w:val="24"/>
          <w:szCs w:val="24"/>
        </w:rPr>
        <w:t xml:space="preserve"> округ</w:t>
      </w:r>
      <w:r>
        <w:rPr>
          <w:rFonts w:ascii="Times New Roman" w:hAnsi="Times New Roman"/>
          <w:sz w:val="24"/>
          <w:szCs w:val="24"/>
        </w:rPr>
        <w:t>а</w:t>
      </w:r>
      <w:r w:rsidRPr="00736F04">
        <w:rPr>
          <w:rFonts w:ascii="Times New Roman" w:hAnsi="Times New Roman"/>
          <w:sz w:val="24"/>
          <w:szCs w:val="24"/>
        </w:rPr>
        <w:t xml:space="preserve"> </w:t>
      </w:r>
      <w:r>
        <w:rPr>
          <w:rFonts w:ascii="Times New Roman" w:hAnsi="Times New Roman"/>
          <w:sz w:val="24"/>
          <w:szCs w:val="24"/>
        </w:rPr>
        <w:t>Тольятти</w:t>
      </w:r>
      <w:r w:rsidRPr="00736F04">
        <w:rPr>
          <w:rFonts w:ascii="Times New Roman" w:hAnsi="Times New Roman"/>
          <w:sz w:val="24"/>
          <w:szCs w:val="24"/>
        </w:rPr>
        <w:t>.</w:t>
      </w:r>
    </w:p>
    <w:p w:rsidR="003F316C" w:rsidRPr="008F28BC" w:rsidRDefault="003F316C" w:rsidP="003F316C">
      <w:pPr>
        <w:pStyle w:val="af"/>
        <w:tabs>
          <w:tab w:val="left" w:pos="142"/>
        </w:tabs>
        <w:spacing w:line="276" w:lineRule="auto"/>
        <w:ind w:left="0" w:firstLine="709"/>
        <w:jc w:val="both"/>
        <w:rPr>
          <w:sz w:val="24"/>
          <w:szCs w:val="24"/>
        </w:rPr>
      </w:pPr>
      <w:r w:rsidRPr="008F28BC">
        <w:rPr>
          <w:sz w:val="24"/>
          <w:szCs w:val="24"/>
        </w:rPr>
        <w:t>Продолжится реализация семи приоритетных направлений, определенных</w:t>
      </w:r>
      <w:r>
        <w:rPr>
          <w:sz w:val="24"/>
          <w:szCs w:val="24"/>
        </w:rPr>
        <w:t>,</w:t>
      </w:r>
      <w:r w:rsidRPr="008F28BC">
        <w:rPr>
          <w:sz w:val="24"/>
          <w:szCs w:val="24"/>
        </w:rPr>
        <w:t xml:space="preserve"> Стратегией социально-экономического развития городского округа Тольятти</w:t>
      </w:r>
      <w:r>
        <w:rPr>
          <w:sz w:val="24"/>
          <w:szCs w:val="24"/>
        </w:rPr>
        <w:t>,</w:t>
      </w:r>
      <w:r w:rsidRPr="008F28BC">
        <w:rPr>
          <w:sz w:val="24"/>
          <w:szCs w:val="24"/>
        </w:rPr>
        <w:t xml:space="preserve"> на период до 2030 года, предполагающих развитие социальной сферы и повышение качества жизни. </w:t>
      </w:r>
    </w:p>
    <w:p w:rsidR="003F316C" w:rsidRPr="00F64C7C" w:rsidRDefault="003F316C" w:rsidP="003F316C">
      <w:pPr>
        <w:pStyle w:val="af"/>
        <w:tabs>
          <w:tab w:val="left" w:pos="142"/>
        </w:tabs>
        <w:spacing w:line="276" w:lineRule="auto"/>
        <w:ind w:left="0" w:firstLine="709"/>
        <w:jc w:val="both"/>
        <w:rPr>
          <w:sz w:val="24"/>
          <w:szCs w:val="24"/>
        </w:rPr>
      </w:pPr>
      <w:r w:rsidRPr="00F64C7C">
        <w:rPr>
          <w:sz w:val="24"/>
          <w:szCs w:val="24"/>
        </w:rPr>
        <w:t>Крупнейши</w:t>
      </w:r>
      <w:r w:rsidR="002C7852">
        <w:rPr>
          <w:sz w:val="24"/>
          <w:szCs w:val="24"/>
        </w:rPr>
        <w:t>ми</w:t>
      </w:r>
      <w:r w:rsidRPr="00F64C7C">
        <w:rPr>
          <w:sz w:val="24"/>
          <w:szCs w:val="24"/>
        </w:rPr>
        <w:t xml:space="preserve"> проектами развития для города станут: Строительство мостового перехода через р. Волга в районе села Климовка, Реконструкция набережной Автозаводского района г. То</w:t>
      </w:r>
      <w:r w:rsidR="00B93BD5">
        <w:rPr>
          <w:sz w:val="24"/>
          <w:szCs w:val="24"/>
        </w:rPr>
        <w:t>льятти</w:t>
      </w:r>
      <w:r w:rsidRPr="00F64C7C">
        <w:rPr>
          <w:sz w:val="24"/>
          <w:szCs w:val="24"/>
        </w:rPr>
        <w:t>,</w:t>
      </w:r>
      <w:r w:rsidR="00B93BD5">
        <w:rPr>
          <w:sz w:val="24"/>
          <w:szCs w:val="24"/>
        </w:rPr>
        <w:t xml:space="preserve"> строительство школ, </w:t>
      </w:r>
      <w:r w:rsidR="00A17591">
        <w:rPr>
          <w:sz w:val="24"/>
          <w:szCs w:val="24"/>
        </w:rPr>
        <w:t>детского сада</w:t>
      </w:r>
      <w:r w:rsidR="002C7852">
        <w:rPr>
          <w:sz w:val="24"/>
          <w:szCs w:val="24"/>
        </w:rPr>
        <w:t xml:space="preserve"> </w:t>
      </w:r>
      <w:r w:rsidRPr="00F64C7C">
        <w:rPr>
          <w:sz w:val="24"/>
          <w:szCs w:val="24"/>
        </w:rPr>
        <w:t>и другие.</w:t>
      </w:r>
      <w:r w:rsidRPr="007E7241">
        <w:t xml:space="preserve"> </w:t>
      </w:r>
    </w:p>
    <w:p w:rsidR="003F316C" w:rsidRPr="00192995" w:rsidRDefault="003F316C" w:rsidP="003F316C">
      <w:pPr>
        <w:spacing w:after="0"/>
        <w:ind w:firstLine="709"/>
        <w:jc w:val="both"/>
        <w:rPr>
          <w:rFonts w:ascii="Times New Roman" w:hAnsi="Times New Roman"/>
          <w:sz w:val="24"/>
          <w:szCs w:val="24"/>
        </w:rPr>
      </w:pPr>
      <w:r w:rsidRPr="00192995">
        <w:rPr>
          <w:rFonts w:ascii="Times New Roman" w:hAnsi="Times New Roman"/>
          <w:sz w:val="24"/>
          <w:szCs w:val="24"/>
        </w:rPr>
        <w:t xml:space="preserve">Кроме того, одним из механизмов, способствующих продвижению привлекательного с инвестиционной точки зрения имиджа городского округа Тольятти, в прогнозном периоде является организация на его территории международных инвестиционно-ориентированных мероприятий (форумов, встреч с иностранными экономическими миссиями, международных </w:t>
      </w:r>
      <w:r w:rsidR="00E53031">
        <w:rPr>
          <w:rFonts w:ascii="Times New Roman" w:hAnsi="Times New Roman"/>
          <w:sz w:val="24"/>
          <w:szCs w:val="24"/>
        </w:rPr>
        <w:t>выставочных мероприятий и другие</w:t>
      </w:r>
      <w:r w:rsidRPr="00192995">
        <w:rPr>
          <w:rFonts w:ascii="Times New Roman" w:hAnsi="Times New Roman"/>
          <w:sz w:val="24"/>
          <w:szCs w:val="24"/>
        </w:rPr>
        <w:t>).</w:t>
      </w:r>
    </w:p>
    <w:p w:rsidR="003F316C" w:rsidRPr="00831332" w:rsidRDefault="003F316C" w:rsidP="00155509">
      <w:pPr>
        <w:spacing w:after="0"/>
        <w:ind w:firstLine="709"/>
        <w:jc w:val="both"/>
        <w:rPr>
          <w:rFonts w:ascii="Times New Roman" w:hAnsi="Times New Roman"/>
          <w:color w:val="000000"/>
          <w:sz w:val="24"/>
          <w:szCs w:val="24"/>
        </w:rPr>
      </w:pPr>
      <w:r w:rsidRPr="00831332">
        <w:rPr>
          <w:rFonts w:ascii="Times New Roman" w:hAnsi="Times New Roman"/>
          <w:color w:val="000000"/>
          <w:sz w:val="24"/>
          <w:szCs w:val="24"/>
        </w:rPr>
        <w:t xml:space="preserve">В прогнозном периоде ожидается рост бюджетных инвестиций, в том числе в рамках реализации Плана основных мероприятий по подготовке и проведению празднования 50-летия выпуска первого легкового автомобиля ВАЗ в городском округе Тольятти. Будет продолжено </w:t>
      </w:r>
      <w:r w:rsidR="00B93BD5" w:rsidRPr="00831332">
        <w:rPr>
          <w:rFonts w:ascii="Times New Roman" w:hAnsi="Times New Roman"/>
          <w:color w:val="000000"/>
          <w:sz w:val="24"/>
          <w:szCs w:val="24"/>
        </w:rPr>
        <w:t xml:space="preserve">строительство </w:t>
      </w:r>
      <w:r w:rsidRPr="00831332">
        <w:rPr>
          <w:rFonts w:ascii="Times New Roman" w:hAnsi="Times New Roman"/>
          <w:color w:val="000000"/>
          <w:sz w:val="24"/>
          <w:szCs w:val="24"/>
        </w:rPr>
        <w:t>физкультурно-спортивного комплекса на площадке</w:t>
      </w:r>
      <w:r w:rsidR="00087CED">
        <w:rPr>
          <w:rFonts w:ascii="Times New Roman" w:hAnsi="Times New Roman"/>
          <w:color w:val="000000"/>
          <w:sz w:val="24"/>
          <w:szCs w:val="24"/>
        </w:rPr>
        <w:t xml:space="preserve"> «Певческое поле», </w:t>
      </w:r>
      <w:r w:rsidRPr="00831332">
        <w:rPr>
          <w:rFonts w:ascii="Times New Roman" w:hAnsi="Times New Roman"/>
          <w:color w:val="000000"/>
          <w:sz w:val="24"/>
          <w:szCs w:val="24"/>
        </w:rPr>
        <w:t>строительство</w:t>
      </w:r>
      <w:r w:rsidR="007D190C">
        <w:rPr>
          <w:rFonts w:ascii="Times New Roman" w:hAnsi="Times New Roman"/>
          <w:color w:val="000000"/>
          <w:sz w:val="24"/>
          <w:szCs w:val="24"/>
        </w:rPr>
        <w:t xml:space="preserve"> и реконструкция трех</w:t>
      </w:r>
      <w:r w:rsidRPr="00831332">
        <w:rPr>
          <w:rFonts w:ascii="Times New Roman" w:hAnsi="Times New Roman"/>
          <w:color w:val="000000"/>
          <w:sz w:val="24"/>
          <w:szCs w:val="24"/>
        </w:rPr>
        <w:t xml:space="preserve"> общеобразовательных школ</w:t>
      </w:r>
      <w:r w:rsidR="00A17591" w:rsidRPr="00831332">
        <w:rPr>
          <w:rFonts w:ascii="Times New Roman" w:hAnsi="Times New Roman"/>
          <w:color w:val="000000"/>
          <w:sz w:val="24"/>
          <w:szCs w:val="24"/>
        </w:rPr>
        <w:t>, реконструкция МАУИ «Драмтеатр «К</w:t>
      </w:r>
      <w:r w:rsidR="006727CC" w:rsidRPr="00831332">
        <w:rPr>
          <w:rFonts w:ascii="Times New Roman" w:hAnsi="Times New Roman"/>
          <w:color w:val="000000"/>
          <w:sz w:val="24"/>
          <w:szCs w:val="24"/>
        </w:rPr>
        <w:t>олесо»»,</w:t>
      </w:r>
      <w:r w:rsidR="00831332" w:rsidRPr="00831332">
        <w:rPr>
          <w:rFonts w:ascii="Times New Roman" w:hAnsi="Times New Roman"/>
          <w:sz w:val="24"/>
          <w:szCs w:val="24"/>
        </w:rPr>
        <w:t xml:space="preserve"> реконструкция здания МБУ ДО ДМШ №4 им. В.М. Свердлова, со строительством корпуса для МБУ ДО ДХШ им. </w:t>
      </w:r>
      <w:r w:rsidR="00142D00">
        <w:rPr>
          <w:rFonts w:ascii="Times New Roman" w:hAnsi="Times New Roman"/>
          <w:sz w:val="24"/>
          <w:szCs w:val="24"/>
        </w:rPr>
        <w:t>М.Н. Плисецкой</w:t>
      </w:r>
      <w:r w:rsidR="00831332" w:rsidRPr="00831332">
        <w:rPr>
          <w:rFonts w:ascii="Times New Roman" w:hAnsi="Times New Roman"/>
          <w:sz w:val="24"/>
          <w:szCs w:val="24"/>
        </w:rPr>
        <w:t>,</w:t>
      </w:r>
      <w:r w:rsidR="006727CC" w:rsidRPr="00831332">
        <w:rPr>
          <w:rFonts w:ascii="Times New Roman" w:hAnsi="Times New Roman"/>
          <w:color w:val="000000"/>
          <w:sz w:val="24"/>
          <w:szCs w:val="24"/>
        </w:rPr>
        <w:t xml:space="preserve">  строительство  ФОК</w:t>
      </w:r>
      <w:r w:rsidR="00A17591" w:rsidRPr="00831332">
        <w:rPr>
          <w:rFonts w:ascii="Times New Roman" w:hAnsi="Times New Roman"/>
          <w:color w:val="000000"/>
          <w:sz w:val="24"/>
          <w:szCs w:val="24"/>
        </w:rPr>
        <w:t xml:space="preserve"> «Акробат»</w:t>
      </w:r>
      <w:r w:rsidRPr="00831332">
        <w:rPr>
          <w:rFonts w:ascii="Times New Roman" w:hAnsi="Times New Roman"/>
          <w:color w:val="000000"/>
          <w:sz w:val="24"/>
          <w:szCs w:val="24"/>
        </w:rPr>
        <w:t>, а также центра спор</w:t>
      </w:r>
      <w:r w:rsidR="00A17591" w:rsidRPr="00831332">
        <w:rPr>
          <w:rFonts w:ascii="Times New Roman" w:hAnsi="Times New Roman"/>
          <w:color w:val="000000"/>
          <w:sz w:val="24"/>
          <w:szCs w:val="24"/>
        </w:rPr>
        <w:t xml:space="preserve">тивной гимнастики «Немов-центр», </w:t>
      </w:r>
      <w:r w:rsidR="008104F7" w:rsidRPr="00831332">
        <w:rPr>
          <w:rFonts w:ascii="Times New Roman" w:hAnsi="Times New Roman"/>
          <w:color w:val="000000"/>
          <w:sz w:val="24"/>
          <w:szCs w:val="24"/>
        </w:rPr>
        <w:t xml:space="preserve"> в</w:t>
      </w:r>
      <w:r w:rsidRPr="00831332">
        <w:rPr>
          <w:rFonts w:ascii="Times New Roman" w:hAnsi="Times New Roman"/>
          <w:color w:val="000000"/>
          <w:sz w:val="24"/>
          <w:szCs w:val="24"/>
        </w:rPr>
        <w:t xml:space="preserve"> Автозаводском районе рядом с парком Победы появится выставочный зал и сквер с игровыми площадками и фонтаном. Продолжится строительство новых дорог и дорожных объектов, а также реконструкция существующих дорог. Объем бюджетных инвестиций за три года по базовому варианту может составить более 4,</w:t>
      </w:r>
      <w:r w:rsidR="00AD53E2" w:rsidRPr="00831332">
        <w:rPr>
          <w:rFonts w:ascii="Times New Roman" w:hAnsi="Times New Roman"/>
          <w:color w:val="000000"/>
          <w:sz w:val="24"/>
          <w:szCs w:val="24"/>
        </w:rPr>
        <w:t>5</w:t>
      </w:r>
      <w:r w:rsidRPr="00831332">
        <w:rPr>
          <w:rFonts w:ascii="Times New Roman" w:hAnsi="Times New Roman"/>
          <w:color w:val="000000"/>
          <w:sz w:val="24"/>
          <w:szCs w:val="24"/>
        </w:rPr>
        <w:t xml:space="preserve"> млрд. рублей.</w:t>
      </w:r>
    </w:p>
    <w:p w:rsidR="003F316C" w:rsidRDefault="003F316C" w:rsidP="00155509">
      <w:pPr>
        <w:spacing w:after="0"/>
        <w:ind w:firstLine="709"/>
        <w:jc w:val="both"/>
        <w:rPr>
          <w:rFonts w:ascii="Times New Roman" w:hAnsi="Times New Roman"/>
          <w:sz w:val="24"/>
          <w:szCs w:val="24"/>
          <w:highlight w:val="yellow"/>
        </w:rPr>
      </w:pPr>
      <w:r w:rsidRPr="00151803">
        <w:rPr>
          <w:rFonts w:ascii="Times New Roman" w:hAnsi="Times New Roman"/>
          <w:color w:val="000000"/>
          <w:sz w:val="24"/>
          <w:szCs w:val="24"/>
        </w:rPr>
        <w:t xml:space="preserve">Корректировка показателя инвестиции в основной капитал по сравнению с прошлогодними параметрами произведена на основании фактически сложившихся значений с учетом собственных прогнозов реализации инвестиционных проектов ведущих промышленных предприятий города, плановых сумм бюджетных инвестиций в реконструкцию и строительство объектов на территории города. </w:t>
      </w:r>
      <w:r w:rsidRPr="008B4BFB">
        <w:rPr>
          <w:rFonts w:ascii="Times New Roman" w:hAnsi="Times New Roman"/>
          <w:color w:val="000000"/>
          <w:sz w:val="24"/>
          <w:szCs w:val="24"/>
        </w:rPr>
        <w:t xml:space="preserve">Прогнозное значение показателя объема инвестиций в основной капитал скорректировано в сторону </w:t>
      </w:r>
      <w:r w:rsidRPr="008B4BFB">
        <w:rPr>
          <w:rFonts w:ascii="Times New Roman" w:hAnsi="Times New Roman"/>
          <w:sz w:val="24"/>
          <w:szCs w:val="24"/>
        </w:rPr>
        <w:t xml:space="preserve">увеличения </w:t>
      </w:r>
      <w:r w:rsidRPr="00A5566C">
        <w:rPr>
          <w:rFonts w:ascii="Times New Roman" w:hAnsi="Times New Roman"/>
          <w:sz w:val="24"/>
          <w:szCs w:val="24"/>
        </w:rPr>
        <w:t xml:space="preserve">по сравнению с </w:t>
      </w:r>
      <w:r w:rsidRPr="008B4BFB">
        <w:rPr>
          <w:rFonts w:ascii="Times New Roman" w:hAnsi="Times New Roman"/>
          <w:sz w:val="24"/>
          <w:szCs w:val="24"/>
        </w:rPr>
        <w:t>прошлогодними параметрами (на 2,7-3,5 млрд. рублей  в 2020 и 20</w:t>
      </w:r>
      <w:r w:rsidR="00E53031">
        <w:rPr>
          <w:rFonts w:ascii="Times New Roman" w:hAnsi="Times New Roman"/>
          <w:sz w:val="24"/>
          <w:szCs w:val="24"/>
        </w:rPr>
        <w:t>21 годах по базовому варианту)</w:t>
      </w:r>
      <w:r w:rsidRPr="008B4BFB">
        <w:rPr>
          <w:rFonts w:ascii="Times New Roman" w:hAnsi="Times New Roman"/>
          <w:sz w:val="24"/>
          <w:szCs w:val="24"/>
        </w:rPr>
        <w:t>.</w:t>
      </w:r>
    </w:p>
    <w:p w:rsidR="009653D7" w:rsidRDefault="006401F6" w:rsidP="00B24CD9">
      <w:pPr>
        <w:pStyle w:val="aa"/>
        <w:widowControl w:val="0"/>
        <w:spacing w:before="0" w:after="0" w:line="276" w:lineRule="auto"/>
        <w:ind w:firstLine="709"/>
        <w:jc w:val="both"/>
      </w:pPr>
      <w:r>
        <w:t>На</w:t>
      </w:r>
      <w:r w:rsidR="00B24CD9" w:rsidRPr="004272BD">
        <w:t xml:space="preserve"> </w:t>
      </w:r>
      <w:r w:rsidR="00BA67EB">
        <w:rPr>
          <w:b/>
        </w:rPr>
        <w:t>жилищно</w:t>
      </w:r>
      <w:r>
        <w:rPr>
          <w:b/>
        </w:rPr>
        <w:t>е</w:t>
      </w:r>
      <w:r w:rsidR="00B24CD9" w:rsidRPr="004272BD">
        <w:rPr>
          <w:b/>
        </w:rPr>
        <w:t xml:space="preserve"> </w:t>
      </w:r>
      <w:r w:rsidR="00BA67EB">
        <w:rPr>
          <w:b/>
        </w:rPr>
        <w:t>строительств</w:t>
      </w:r>
      <w:r>
        <w:rPr>
          <w:b/>
        </w:rPr>
        <w:t>о</w:t>
      </w:r>
      <w:r w:rsidR="00B24CD9" w:rsidRPr="004272BD">
        <w:t xml:space="preserve"> на территории городского округа Тольятти </w:t>
      </w:r>
      <w:r w:rsidR="00BA67EB">
        <w:t xml:space="preserve">основное влияние </w:t>
      </w:r>
      <w:r w:rsidRPr="006401F6">
        <w:t>оказывае</w:t>
      </w:r>
      <w:r w:rsidR="00BA67EB" w:rsidRPr="006401F6">
        <w:t xml:space="preserve">т невысокий спрос на приобретение нового жилья, в том числе в результате снижения численности постоянного населения города. Происходит сокращение количества новых проектов, так как застройщики не рискуют начинать </w:t>
      </w:r>
      <w:r w:rsidR="00BA67EB" w:rsidRPr="006401F6">
        <w:lastRenderedPageBreak/>
        <w:t xml:space="preserve">строительство в связи с переходом </w:t>
      </w:r>
      <w:r w:rsidR="009653D7" w:rsidRPr="006401F6">
        <w:t xml:space="preserve">с июля 2019 года </w:t>
      </w:r>
      <w:r w:rsidR="00BA67EB" w:rsidRPr="006401F6">
        <w:t>на проектное финансирование.</w:t>
      </w:r>
      <w:r w:rsidR="00BA67EB">
        <w:t xml:space="preserve"> </w:t>
      </w:r>
    </w:p>
    <w:p w:rsidR="00B24CD9" w:rsidRPr="00B24CD9" w:rsidRDefault="00BA67EB" w:rsidP="00B24CD9">
      <w:pPr>
        <w:pStyle w:val="aa"/>
        <w:widowControl w:val="0"/>
        <w:spacing w:before="0" w:after="0" w:line="276" w:lineRule="auto"/>
        <w:ind w:firstLine="709"/>
        <w:jc w:val="both"/>
        <w:rPr>
          <w:color w:val="000000"/>
          <w:lang w:eastAsia="ru-RU"/>
        </w:rPr>
      </w:pPr>
      <w:r>
        <w:t>С учетом этой</w:t>
      </w:r>
      <w:r w:rsidRPr="00BA67EB">
        <w:t xml:space="preserve"> неопределенност</w:t>
      </w:r>
      <w:r>
        <w:t>и</w:t>
      </w:r>
      <w:r w:rsidRPr="00BA67EB">
        <w:t xml:space="preserve"> </w:t>
      </w:r>
      <w:r>
        <w:t>п</w:t>
      </w:r>
      <w:r w:rsidR="00B24CD9" w:rsidRPr="004272BD">
        <w:t xml:space="preserve">о первому (консервативному) варианту </w:t>
      </w:r>
      <w:r w:rsidR="00B24CD9">
        <w:t>прогнозируется снижение</w:t>
      </w:r>
      <w:r w:rsidR="00B24CD9" w:rsidRPr="004272BD">
        <w:t xml:space="preserve"> объемов вводимого в </w:t>
      </w:r>
      <w:r w:rsidR="00B24CD9" w:rsidRPr="00B24CD9">
        <w:rPr>
          <w:color w:val="000000"/>
          <w:lang w:eastAsia="ru-RU"/>
        </w:rPr>
        <w:t xml:space="preserve">действие жилья. Прогноз по вводу жилья на 2020-2022 гг. по консервативному варианту рассчитан исходя из </w:t>
      </w:r>
      <w:r w:rsidR="00156A29">
        <w:rPr>
          <w:color w:val="000000"/>
          <w:lang w:eastAsia="ru-RU"/>
        </w:rPr>
        <w:t xml:space="preserve">имеющихся на </w:t>
      </w:r>
      <w:r w:rsidR="009F49DC">
        <w:rPr>
          <w:color w:val="000000"/>
          <w:lang w:eastAsia="ru-RU"/>
        </w:rPr>
        <w:t>октябрь 2019 года</w:t>
      </w:r>
      <w:r w:rsidR="00156A29">
        <w:rPr>
          <w:color w:val="000000"/>
          <w:lang w:eastAsia="ru-RU"/>
        </w:rPr>
        <w:t xml:space="preserve"> </w:t>
      </w:r>
      <w:r w:rsidR="009F49DC">
        <w:rPr>
          <w:color w:val="000000"/>
          <w:lang w:eastAsia="ru-RU"/>
        </w:rPr>
        <w:t>данных</w:t>
      </w:r>
      <w:r w:rsidR="00156A29">
        <w:rPr>
          <w:color w:val="000000"/>
          <w:lang w:eastAsia="ru-RU"/>
        </w:rPr>
        <w:t xml:space="preserve"> о </w:t>
      </w:r>
      <w:r w:rsidR="00B24CD9" w:rsidRPr="00B24CD9">
        <w:rPr>
          <w:color w:val="000000"/>
          <w:lang w:eastAsia="ru-RU"/>
        </w:rPr>
        <w:t>срок</w:t>
      </w:r>
      <w:r w:rsidR="00156A29">
        <w:rPr>
          <w:color w:val="000000"/>
          <w:lang w:eastAsia="ru-RU"/>
        </w:rPr>
        <w:t>ах</w:t>
      </w:r>
      <w:r w:rsidR="00B24CD9" w:rsidRPr="00B24CD9">
        <w:rPr>
          <w:color w:val="000000"/>
          <w:lang w:eastAsia="ru-RU"/>
        </w:rPr>
        <w:t xml:space="preserve"> действия разрешений на строительство, сведения о которых имеются в АИС ОГД.  </w:t>
      </w:r>
    </w:p>
    <w:p w:rsidR="00B24CD9" w:rsidRPr="00B24CD9" w:rsidRDefault="00B24CD9" w:rsidP="00B24CD9">
      <w:pPr>
        <w:pStyle w:val="aa"/>
        <w:widowControl w:val="0"/>
        <w:spacing w:before="0" w:after="0" w:line="276" w:lineRule="auto"/>
        <w:ind w:firstLine="709"/>
        <w:jc w:val="both"/>
        <w:rPr>
          <w:color w:val="000000"/>
          <w:lang w:eastAsia="ru-RU"/>
        </w:rPr>
      </w:pPr>
      <w:r w:rsidRPr="00B24CD9">
        <w:rPr>
          <w:color w:val="000000"/>
          <w:lang w:eastAsia="ru-RU"/>
        </w:rPr>
        <w:t xml:space="preserve">По второму (базовому) варианту прогноза, исходя из </w:t>
      </w:r>
      <w:r w:rsidR="009653D7">
        <w:rPr>
          <w:color w:val="000000"/>
          <w:lang w:eastAsia="ru-RU"/>
        </w:rPr>
        <w:t xml:space="preserve">целевых </w:t>
      </w:r>
      <w:r w:rsidRPr="00B24CD9">
        <w:rPr>
          <w:color w:val="000000"/>
          <w:lang w:eastAsia="ru-RU"/>
        </w:rPr>
        <w:t xml:space="preserve">показателей </w:t>
      </w:r>
      <w:r w:rsidR="009653D7" w:rsidRPr="009653D7">
        <w:rPr>
          <w:color w:val="000000"/>
          <w:lang w:eastAsia="ru-RU"/>
        </w:rPr>
        <w:t xml:space="preserve">темпов жилищного строительства </w:t>
      </w:r>
      <w:r w:rsidR="006936BD">
        <w:rPr>
          <w:color w:val="000000"/>
          <w:lang w:eastAsia="ru-RU"/>
        </w:rPr>
        <w:t xml:space="preserve">региональной составляющей </w:t>
      </w:r>
      <w:r w:rsidRPr="006936BD">
        <w:rPr>
          <w:color w:val="000000"/>
          <w:lang w:eastAsia="ru-RU"/>
        </w:rPr>
        <w:t>национального проекта</w:t>
      </w:r>
      <w:r w:rsidRPr="00B24CD9">
        <w:rPr>
          <w:color w:val="000000"/>
          <w:lang w:eastAsia="ru-RU"/>
        </w:rPr>
        <w:t xml:space="preserve"> </w:t>
      </w:r>
      <w:r w:rsidR="009653D7">
        <w:rPr>
          <w:color w:val="000000"/>
          <w:lang w:eastAsia="ru-RU"/>
        </w:rPr>
        <w:t>«</w:t>
      </w:r>
      <w:r w:rsidRPr="00B24CD9">
        <w:rPr>
          <w:color w:val="000000"/>
          <w:lang w:eastAsia="ru-RU"/>
        </w:rPr>
        <w:t>Жилье и городская среда</w:t>
      </w:r>
      <w:r w:rsidR="009653D7">
        <w:rPr>
          <w:color w:val="000000"/>
          <w:lang w:eastAsia="ru-RU"/>
        </w:rPr>
        <w:t>»</w:t>
      </w:r>
      <w:r w:rsidRPr="00B24CD9">
        <w:rPr>
          <w:color w:val="000000"/>
          <w:lang w:eastAsia="ru-RU"/>
        </w:rPr>
        <w:t xml:space="preserve"> прогнозируется увеличение объема ввода в действие общей площади жилых домов (квартир) (с учетом индивидуальных построек): к концу 2022 года по второму вариант</w:t>
      </w:r>
      <w:r w:rsidR="009653D7">
        <w:rPr>
          <w:color w:val="000000"/>
          <w:lang w:eastAsia="ru-RU"/>
        </w:rPr>
        <w:t>у</w:t>
      </w:r>
      <w:r w:rsidRPr="00B24CD9">
        <w:rPr>
          <w:color w:val="000000"/>
          <w:lang w:eastAsia="ru-RU"/>
        </w:rPr>
        <w:t xml:space="preserve"> прогноза прирост вводимого объема жилья составит 18,1% к 2019 году. </w:t>
      </w:r>
    </w:p>
    <w:p w:rsidR="00B24CD9" w:rsidRPr="00B24CD9" w:rsidRDefault="00B24CD9" w:rsidP="00B24CD9">
      <w:pPr>
        <w:pStyle w:val="aa"/>
        <w:widowControl w:val="0"/>
        <w:spacing w:before="0" w:after="0" w:line="276" w:lineRule="auto"/>
        <w:ind w:firstLine="709"/>
        <w:jc w:val="both"/>
        <w:rPr>
          <w:color w:val="000000"/>
          <w:lang w:eastAsia="ru-RU"/>
        </w:rPr>
      </w:pPr>
      <w:r w:rsidRPr="00B24CD9">
        <w:rPr>
          <w:color w:val="000000"/>
          <w:lang w:eastAsia="ru-RU"/>
        </w:rPr>
        <w:t>Уровень обеспеченности населения городского округа Тольятти жильем к 2022 году составит 23,65 и 23,92 кв. м на человека по консервативному и базовому вариантам соответственно.</w:t>
      </w:r>
      <w:r w:rsidRPr="00B24CD9">
        <w:rPr>
          <w:color w:val="000000"/>
          <w:lang w:eastAsia="ru-RU"/>
        </w:rPr>
        <w:tab/>
      </w:r>
    </w:p>
    <w:p w:rsidR="00B24CD9" w:rsidRPr="00B24CD9" w:rsidRDefault="00B24CD9" w:rsidP="00B24CD9">
      <w:pPr>
        <w:pStyle w:val="aa"/>
        <w:widowControl w:val="0"/>
        <w:spacing w:before="0" w:after="0" w:line="276" w:lineRule="auto"/>
        <w:ind w:firstLine="709"/>
        <w:jc w:val="both"/>
        <w:rPr>
          <w:color w:val="000000"/>
          <w:lang w:eastAsia="ru-RU"/>
        </w:rPr>
      </w:pPr>
      <w:r w:rsidRPr="00B24CD9">
        <w:rPr>
          <w:color w:val="000000"/>
          <w:lang w:eastAsia="ru-RU"/>
        </w:rPr>
        <w:t>Приоритетное направление в жилищной политике в прогнозном периоде - выполнение текущих обязательств государства по обеспечению жильем льготных категорий граждан и совершенствование нормативной и правовой базы реализации жилищной политики.</w:t>
      </w:r>
    </w:p>
    <w:p w:rsidR="00B24CD9" w:rsidRPr="00B24CD9" w:rsidRDefault="00B24CD9" w:rsidP="00B24CD9">
      <w:pPr>
        <w:pStyle w:val="aa"/>
        <w:widowControl w:val="0"/>
        <w:spacing w:before="0" w:after="0" w:line="276" w:lineRule="auto"/>
        <w:ind w:firstLine="709"/>
        <w:jc w:val="both"/>
        <w:rPr>
          <w:color w:val="000000"/>
          <w:lang w:eastAsia="ru-RU"/>
        </w:rPr>
      </w:pPr>
      <w:r w:rsidRPr="00B24CD9">
        <w:rPr>
          <w:color w:val="000000"/>
          <w:lang w:eastAsia="ru-RU"/>
        </w:rPr>
        <w:t xml:space="preserve">Продолжится реализация жилищной политики в области обеспечения прав на улучшение жилищных условий льготных категорий граждан в рамках федеральной целевой программы «Жилище» на 2015-2020 годы. </w:t>
      </w:r>
    </w:p>
    <w:p w:rsidR="00F31429" w:rsidRDefault="00B24CD9" w:rsidP="00B24CD9">
      <w:pPr>
        <w:pStyle w:val="aa"/>
        <w:widowControl w:val="0"/>
        <w:spacing w:before="0" w:after="0" w:line="276" w:lineRule="auto"/>
        <w:ind w:firstLine="709"/>
        <w:jc w:val="both"/>
        <w:rPr>
          <w:color w:val="000000"/>
          <w:lang w:eastAsia="ru-RU"/>
        </w:rPr>
      </w:pPr>
      <w:r w:rsidRPr="00B24CD9">
        <w:rPr>
          <w:color w:val="000000"/>
          <w:lang w:eastAsia="ru-RU"/>
        </w:rPr>
        <w:t>В целях реализации жилищной политики в направлении обеспечения прав граждан на приобретение жилья экономического класса, строящегося или построенного на территории Самарской области, утверждено Постановление Правительства Самарской области от 10.07.2014 № 386 «Об обеспечении реализации на территории Самарской области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w:t>
      </w:r>
      <w:r w:rsidR="006968E9">
        <w:rPr>
          <w:color w:val="000000"/>
          <w:lang w:eastAsia="ru-RU"/>
        </w:rPr>
        <w:t>,</w:t>
      </w:r>
      <w:r w:rsidR="00156A29">
        <w:rPr>
          <w:color w:val="000000"/>
          <w:lang w:eastAsia="ru-RU"/>
        </w:rPr>
        <w:t xml:space="preserve"> </w:t>
      </w:r>
      <w:r w:rsidR="006968E9">
        <w:rPr>
          <w:color w:val="000000"/>
          <w:lang w:eastAsia="ru-RU"/>
        </w:rPr>
        <w:t>в</w:t>
      </w:r>
      <w:r w:rsidR="00F31429">
        <w:rPr>
          <w:color w:val="000000"/>
          <w:lang w:eastAsia="ru-RU"/>
        </w:rPr>
        <w:t xml:space="preserve"> </w:t>
      </w:r>
      <w:r w:rsidR="006968E9">
        <w:rPr>
          <w:color w:val="000000"/>
          <w:lang w:eastAsia="ru-RU"/>
        </w:rPr>
        <w:t>котором утверждены требования к гражданам, имеющим право на приобретение жилья экономического класса на территории Самарской области.</w:t>
      </w:r>
      <w:r w:rsidR="00F31429">
        <w:rPr>
          <w:color w:val="000000"/>
          <w:lang w:eastAsia="ru-RU"/>
        </w:rPr>
        <w:t xml:space="preserve"> </w:t>
      </w:r>
    </w:p>
    <w:p w:rsidR="00B24CD9" w:rsidRPr="00B24CD9" w:rsidRDefault="00B24CD9" w:rsidP="001F7BA4">
      <w:pPr>
        <w:pStyle w:val="aa"/>
        <w:widowControl w:val="0"/>
        <w:spacing w:before="0" w:after="0" w:line="276" w:lineRule="auto"/>
        <w:ind w:firstLine="709"/>
        <w:jc w:val="both"/>
        <w:rPr>
          <w:color w:val="000000"/>
          <w:lang w:eastAsia="ru-RU"/>
        </w:rPr>
      </w:pPr>
      <w:r w:rsidRPr="00B24CD9">
        <w:rPr>
          <w:color w:val="000000"/>
          <w:lang w:eastAsia="ru-RU"/>
        </w:rPr>
        <w:t xml:space="preserve">Планируется продолжить мероприятия по завершению строительства и вводу в эксплуатацию проблемных объектов жилищного строительства. </w:t>
      </w:r>
    </w:p>
    <w:p w:rsidR="001F7BA4" w:rsidRDefault="001F7BA4" w:rsidP="001F7BA4">
      <w:pPr>
        <w:spacing w:after="0"/>
        <w:jc w:val="center"/>
        <w:rPr>
          <w:rFonts w:ascii="Times New Roman" w:hAnsi="Times New Roman"/>
          <w:b/>
          <w:sz w:val="24"/>
          <w:szCs w:val="24"/>
          <w:lang w:eastAsia="ar-SA"/>
        </w:rPr>
      </w:pPr>
    </w:p>
    <w:p w:rsidR="006A30C9" w:rsidRPr="00932CC0" w:rsidRDefault="006A30C9" w:rsidP="006A30C9">
      <w:pPr>
        <w:jc w:val="center"/>
        <w:rPr>
          <w:rFonts w:ascii="Times New Roman" w:hAnsi="Times New Roman"/>
          <w:b/>
          <w:sz w:val="24"/>
          <w:szCs w:val="24"/>
          <w:lang w:eastAsia="ar-SA"/>
        </w:rPr>
      </w:pPr>
      <w:r w:rsidRPr="00932CC0">
        <w:rPr>
          <w:rFonts w:ascii="Times New Roman" w:hAnsi="Times New Roman"/>
          <w:b/>
          <w:sz w:val="24"/>
          <w:szCs w:val="24"/>
          <w:lang w:eastAsia="ar-SA"/>
        </w:rPr>
        <w:t>Финансы</w:t>
      </w:r>
      <w:bookmarkStart w:id="4" w:name="финансы"/>
      <w:bookmarkEnd w:id="4"/>
    </w:p>
    <w:p w:rsidR="00910BD5" w:rsidRDefault="00910BD5" w:rsidP="00910BD5">
      <w:pPr>
        <w:pStyle w:val="aa"/>
        <w:widowControl w:val="0"/>
        <w:numPr>
          <w:ilvl w:val="0"/>
          <w:numId w:val="2"/>
        </w:numPr>
        <w:tabs>
          <w:tab w:val="clear" w:pos="0"/>
          <w:tab w:val="num" w:pos="720"/>
        </w:tabs>
        <w:spacing w:before="0" w:after="0" w:line="276" w:lineRule="auto"/>
        <w:ind w:left="0" w:firstLine="709"/>
        <w:jc w:val="both"/>
      </w:pPr>
      <w:r w:rsidRPr="00932CC0">
        <w:t>В прогнозном периоде финансовая сфера городского округа Тольятти</w:t>
      </w:r>
      <w:r>
        <w:t xml:space="preserve"> будет характеризоваться положительным сальдированным результатом организаций, не относящихся к субъектам малого и среднего предпринимательства (далее – организации), в основном, за счёт роста прибыли крупнейших экспортно-ориентированных химических предприятий. </w:t>
      </w:r>
    </w:p>
    <w:p w:rsidR="00910BD5" w:rsidRPr="00932CC0" w:rsidRDefault="00910BD5" w:rsidP="00910BD5">
      <w:pPr>
        <w:pStyle w:val="aa"/>
        <w:widowControl w:val="0"/>
        <w:numPr>
          <w:ilvl w:val="0"/>
          <w:numId w:val="2"/>
        </w:numPr>
        <w:tabs>
          <w:tab w:val="clear" w:pos="0"/>
          <w:tab w:val="num" w:pos="720"/>
        </w:tabs>
        <w:spacing w:before="0" w:after="0" w:line="276" w:lineRule="auto"/>
        <w:ind w:left="0" w:firstLine="709"/>
        <w:jc w:val="both"/>
      </w:pPr>
      <w:r>
        <w:t>Б</w:t>
      </w:r>
      <w:r w:rsidRPr="00932CC0">
        <w:t>юджетн</w:t>
      </w:r>
      <w:r>
        <w:t>ая</w:t>
      </w:r>
      <w:r w:rsidRPr="00932CC0">
        <w:t xml:space="preserve"> сфер</w:t>
      </w:r>
      <w:r>
        <w:t>а по обоим вариантам прогноза</w:t>
      </w:r>
      <w:r w:rsidRPr="00932CC0">
        <w:t xml:space="preserve"> будет по-прежнему испытывать ограничения, обусловленные необходимостью сокращения объема муниципального долга и </w:t>
      </w:r>
      <w:r>
        <w:t>за</w:t>
      </w:r>
      <w:r w:rsidRPr="00932CC0">
        <w:t xml:space="preserve">медленным ростом доходов в местный бюджет, основным наполнением которого являются налог на доходы физических лиц (НДФЛ), динамика которого не будет расти интенсивно без соответствующего роста численности официально трудоустроенных </w:t>
      </w:r>
      <w:r w:rsidRPr="00932CC0">
        <w:lastRenderedPageBreak/>
        <w:t>работников и размеров заработной платы.</w:t>
      </w:r>
    </w:p>
    <w:p w:rsidR="00910BD5" w:rsidRDefault="00910BD5" w:rsidP="00910BD5">
      <w:pPr>
        <w:pStyle w:val="aa"/>
        <w:widowControl w:val="0"/>
        <w:numPr>
          <w:ilvl w:val="0"/>
          <w:numId w:val="2"/>
        </w:numPr>
        <w:tabs>
          <w:tab w:val="clear" w:pos="0"/>
          <w:tab w:val="num" w:pos="720"/>
        </w:tabs>
        <w:spacing w:before="0" w:after="0" w:line="276" w:lineRule="auto"/>
        <w:ind w:left="0" w:firstLine="709"/>
        <w:jc w:val="both"/>
      </w:pPr>
      <w:r>
        <w:t>П</w:t>
      </w:r>
      <w:r w:rsidRPr="00932CC0">
        <w:t>рибыль прибыльных организаций до налогообложения (по РСБУ) организаций, не относящихся к субъектам малого предпринимательства</w:t>
      </w:r>
      <w:r>
        <w:t xml:space="preserve"> </w:t>
      </w:r>
      <w:r w:rsidRPr="00932CC0">
        <w:t>(далее по разделу – прибыль)</w:t>
      </w:r>
      <w:r>
        <w:t xml:space="preserve"> будет расти умеренными темпами, испытывая давление зарубежных финансовых и технологических санкций, рост тарифов на энергетические ресурсы, затраты на ремонт и модернизацию оборудования: </w:t>
      </w:r>
    </w:p>
    <w:p w:rsidR="00910BD5" w:rsidRDefault="00910BD5" w:rsidP="00910BD5">
      <w:pPr>
        <w:pStyle w:val="aa"/>
        <w:widowControl w:val="0"/>
        <w:numPr>
          <w:ilvl w:val="0"/>
          <w:numId w:val="2"/>
        </w:numPr>
        <w:tabs>
          <w:tab w:val="clear" w:pos="0"/>
          <w:tab w:val="num" w:pos="720"/>
        </w:tabs>
        <w:spacing w:before="0" w:after="0" w:line="276" w:lineRule="auto"/>
        <w:ind w:left="0" w:firstLine="709"/>
        <w:jc w:val="both"/>
      </w:pPr>
      <w:r>
        <w:t>- по консервативному варианту: в 2020 году скажется «эффект высокой базы» относительно 2019 года, темп роста (снижения) прибыли составит 97,9%; в 2021 и 2022 годах – 106,1% и 107,8% соответственно; к концу прогнозного периода (2022/2019)  рост прибыли составит 112,0%;</w:t>
      </w:r>
    </w:p>
    <w:p w:rsidR="00910BD5" w:rsidRDefault="00910BD5" w:rsidP="00910BD5">
      <w:pPr>
        <w:pStyle w:val="aa"/>
        <w:widowControl w:val="0"/>
        <w:numPr>
          <w:ilvl w:val="0"/>
          <w:numId w:val="2"/>
        </w:numPr>
        <w:tabs>
          <w:tab w:val="clear" w:pos="0"/>
          <w:tab w:val="num" w:pos="720"/>
        </w:tabs>
        <w:spacing w:before="0" w:after="0" w:line="276" w:lineRule="auto"/>
        <w:ind w:left="0" w:firstLine="709"/>
        <w:jc w:val="both"/>
      </w:pPr>
      <w:r>
        <w:t>- по базовому варианту – более высокими темпами относительно текущего года: 102,2%, 108,3% и 110,1% в 2020, 2021 и 2022 годах соответственно); к концу прогнозного периода рост прибыли составит 118,2% (2022</w:t>
      </w:r>
      <w:r w:rsidR="009F49DC">
        <w:t xml:space="preserve"> год к </w:t>
      </w:r>
      <w:r>
        <w:t>2019</w:t>
      </w:r>
      <w:r w:rsidR="009F49DC">
        <w:t xml:space="preserve"> году</w:t>
      </w:r>
      <w:r>
        <w:t>) с учётом данных о прибыли химических предприятий, доля прибыли которых в общем объеме прибыли традиционно составляет 50%-60%, реализации крупных инвестиционных проектов, направленных на выпуск новых конкурентоспособных продуктов, получения АО «АВТОВАЗ» промсубсидий (компенсация уплаченного утилизационного сбора) в рамках реализации СПИК и мер государственной отраслевой поддержки, а также участия тольяттинских предприятий в реализации национальных проектов «Производительность труда и поддержка занятости», «Международная кооперация и экспорт».</w:t>
      </w:r>
    </w:p>
    <w:p w:rsidR="00910BD5" w:rsidRPr="004F2543" w:rsidRDefault="00910BD5" w:rsidP="00910BD5">
      <w:pPr>
        <w:pStyle w:val="aa"/>
        <w:widowControl w:val="0"/>
        <w:numPr>
          <w:ilvl w:val="0"/>
          <w:numId w:val="2"/>
        </w:numPr>
        <w:tabs>
          <w:tab w:val="clear" w:pos="0"/>
          <w:tab w:val="num" w:pos="720"/>
        </w:tabs>
        <w:spacing w:before="0" w:after="0" w:line="276" w:lineRule="auto"/>
        <w:ind w:left="0" w:firstLine="709"/>
        <w:jc w:val="both"/>
      </w:pPr>
      <w:r w:rsidRPr="004F2543">
        <w:t xml:space="preserve">Прогнозные значения прибыли прибыльных организаций до налогообложения на 2020 и 2021 годы корректируются в сторону повышения с учётом фактических данных за 2018 год и </w:t>
      </w:r>
      <w:r w:rsidR="009F49DC">
        <w:t>1</w:t>
      </w:r>
      <w:r w:rsidRPr="004F2543">
        <w:t xml:space="preserve"> полугодие 2019 года, сложившихся в размере значительно выше, чем прогнозировались годом ранее.</w:t>
      </w:r>
    </w:p>
    <w:p w:rsidR="00910BD5" w:rsidRPr="008959E7" w:rsidRDefault="00910BD5" w:rsidP="00910BD5">
      <w:pPr>
        <w:pStyle w:val="aa"/>
        <w:widowControl w:val="0"/>
        <w:numPr>
          <w:ilvl w:val="0"/>
          <w:numId w:val="2"/>
        </w:numPr>
        <w:tabs>
          <w:tab w:val="clear" w:pos="0"/>
          <w:tab w:val="num" w:pos="720"/>
        </w:tabs>
        <w:spacing w:before="0" w:after="0" w:line="276" w:lineRule="auto"/>
        <w:ind w:left="0" w:firstLine="709"/>
        <w:jc w:val="both"/>
      </w:pPr>
      <w:r w:rsidRPr="008959E7">
        <w:t xml:space="preserve">Рост амортизационных отчислений на полное восстановление основных средств организаций городского округа Тольятти в прогнозном периоде прогнозируется на уровне темпов роста физического объёма инвестиций в основной капитал: в 2020 году - на 1,7% и 7,2% по вариантам прогноза соответственно, в 2021 году – на 1,1% и 6,8%, в 2022 году – на 0,6% и 5,3%. Их рост будет обеспечиваться как инвестициями в основные средства действующих организаций, так и вновь вводимыми основными средствами резидентов ТОСЭР «Тольятти» и других вновь создающихся организаций. </w:t>
      </w:r>
    </w:p>
    <w:p w:rsidR="00910BD5" w:rsidRPr="001E601B" w:rsidRDefault="00910BD5" w:rsidP="00910BD5">
      <w:pPr>
        <w:pStyle w:val="aa"/>
        <w:widowControl w:val="0"/>
        <w:numPr>
          <w:ilvl w:val="0"/>
          <w:numId w:val="2"/>
        </w:numPr>
        <w:tabs>
          <w:tab w:val="clear" w:pos="0"/>
          <w:tab w:val="num" w:pos="720"/>
        </w:tabs>
        <w:spacing w:before="0" w:after="0" w:line="276" w:lineRule="auto"/>
        <w:ind w:left="0" w:firstLine="709"/>
        <w:jc w:val="both"/>
      </w:pPr>
      <w:r w:rsidRPr="00951FC6">
        <w:t xml:space="preserve">Налоговые доходы городского округа </w:t>
      </w:r>
      <w:r w:rsidR="005615F0">
        <w:t xml:space="preserve">Тольятти </w:t>
      </w:r>
      <w:r w:rsidRPr="00951FC6">
        <w:t xml:space="preserve">к концу 2022 года по сравнению с 2019 годом увеличатся на </w:t>
      </w:r>
      <w:r>
        <w:t>13,</w:t>
      </w:r>
      <w:r w:rsidR="00C62098">
        <w:t>8</w:t>
      </w:r>
      <w:r w:rsidRPr="001E601B">
        <w:t>% по консервативному варианту прогноза, на 17,</w:t>
      </w:r>
      <w:r w:rsidR="00C62098">
        <w:t>6</w:t>
      </w:r>
      <w:r w:rsidRPr="001E601B">
        <w:t>% по базовому варианту прогноза, в том числе по базовому варианту:</w:t>
      </w:r>
    </w:p>
    <w:p w:rsidR="00910BD5" w:rsidRPr="00951FC6" w:rsidRDefault="00910BD5" w:rsidP="00910BD5">
      <w:pPr>
        <w:pStyle w:val="aa"/>
        <w:widowControl w:val="0"/>
        <w:numPr>
          <w:ilvl w:val="0"/>
          <w:numId w:val="2"/>
        </w:numPr>
        <w:tabs>
          <w:tab w:val="clear" w:pos="0"/>
          <w:tab w:val="num" w:pos="720"/>
        </w:tabs>
        <w:spacing w:before="0" w:after="0" w:line="276" w:lineRule="auto"/>
        <w:ind w:left="0" w:firstLine="709"/>
        <w:jc w:val="both"/>
      </w:pPr>
      <w:r w:rsidRPr="001E601B">
        <w:t>- налоги на прибыль, доходы: рост на 22,1%, в основном, за счёт роста на 21,9%</w:t>
      </w:r>
      <w:r w:rsidRPr="00951FC6">
        <w:t xml:space="preserve"> поступлений налога на прибыль организаций, рассчитанных с применением прогнозируемых темпов роста прибыли прибыльных организаций до налогообложения (по РСБУ), а также роста на 22,3% поступлений НДФЛ, рассчитанных с применением прогнозируемых темпов роста фонда оплаты труда, исходя из численности занятых в экономике и размеров среднемесячной номинальной начисленной заработной платы работников организаций, не относящихся к субъектам малого предпринимательства, в том числе по базовому варианту прогноза по годам: в 2020 году –  106,1%, в 2021 году – 107,3 %, в 2022 году – 107,4%;</w:t>
      </w:r>
    </w:p>
    <w:p w:rsidR="00910BD5" w:rsidRPr="000C6BD0" w:rsidRDefault="00910BD5" w:rsidP="00910BD5">
      <w:pPr>
        <w:pStyle w:val="aa"/>
        <w:widowControl w:val="0"/>
        <w:numPr>
          <w:ilvl w:val="0"/>
          <w:numId w:val="2"/>
        </w:numPr>
        <w:tabs>
          <w:tab w:val="clear" w:pos="0"/>
          <w:tab w:val="num" w:pos="720"/>
        </w:tabs>
        <w:spacing w:before="0" w:after="0" w:line="276" w:lineRule="auto"/>
        <w:ind w:left="0" w:firstLine="709"/>
        <w:jc w:val="both"/>
      </w:pPr>
      <w:r w:rsidRPr="000C6BD0">
        <w:t>- налоги на товары (работы, услуги): рост на 13,</w:t>
      </w:r>
      <w:r w:rsidR="00C62098">
        <w:t>7</w:t>
      </w:r>
      <w:r w:rsidRPr="000C6BD0">
        <w:t xml:space="preserve">% за счёт роста НДС и акцизов (в 2017-2019 годах объёмы возмещения уплаченных акцизов на бензол, параксилол, </w:t>
      </w:r>
      <w:r w:rsidRPr="000C6BD0">
        <w:lastRenderedPageBreak/>
        <w:t>ортоксилол и средние дистилляты, используемые в качестве сырья в химической промышленности превышают поступления акцизов на бензин, автомобили и алкогольную продукцию, однако наблюдается тенденция к уменьшению разницы между уплаченными и возмещенными акцизами, также увеличивается положительная разница между уплаченным НДС и возмещенным из бюджета НДС по экспортным операциям);</w:t>
      </w:r>
    </w:p>
    <w:p w:rsidR="00910BD5" w:rsidRPr="000C6BD0" w:rsidRDefault="00910BD5" w:rsidP="00910BD5">
      <w:pPr>
        <w:pStyle w:val="aa"/>
        <w:widowControl w:val="0"/>
        <w:numPr>
          <w:ilvl w:val="0"/>
          <w:numId w:val="2"/>
        </w:numPr>
        <w:tabs>
          <w:tab w:val="clear" w:pos="0"/>
          <w:tab w:val="num" w:pos="720"/>
        </w:tabs>
        <w:spacing w:before="0" w:after="0" w:line="276" w:lineRule="auto"/>
        <w:ind w:left="0" w:firstLine="709"/>
        <w:jc w:val="both"/>
      </w:pPr>
      <w:r w:rsidRPr="000C6BD0">
        <w:t xml:space="preserve">- налоги на совокупный доход: рост на </w:t>
      </w:r>
      <w:r>
        <w:t>3,7</w:t>
      </w:r>
      <w:r w:rsidRPr="000C6BD0">
        <w:t xml:space="preserve">%, в основном, за счёт роста поступлений налога, взимаемого в связи с применением упрощенной системы налогообложения (УСН) (прогнозируется с </w:t>
      </w:r>
      <w:r>
        <w:t>учётом роста отчислений в местный бюджет с 2</w:t>
      </w:r>
      <w:r w:rsidR="009F49DC">
        <w:t>,0</w:t>
      </w:r>
      <w:r>
        <w:t>% в 2020 году до 19</w:t>
      </w:r>
      <w:r w:rsidR="009F49DC">
        <w:t>,0</w:t>
      </w:r>
      <w:r>
        <w:t>% в 2021-2022 гг. при отмене с 2021 года единого налога на вмененный доход</w:t>
      </w:r>
      <w:r w:rsidRPr="000C6BD0">
        <w:t>); отрицательной</w:t>
      </w:r>
      <w:r>
        <w:t xml:space="preserve"> динамики </w:t>
      </w:r>
      <w:r w:rsidRPr="000C6BD0">
        <w:t>поступлени</w:t>
      </w:r>
      <w:r>
        <w:t>я</w:t>
      </w:r>
      <w:r w:rsidRPr="000C6BD0">
        <w:t xml:space="preserve"> единого налога на вмененный доход (ЕНВД)</w:t>
      </w:r>
      <w:r>
        <w:t xml:space="preserve"> в 2020 году</w:t>
      </w:r>
      <w:r w:rsidRPr="000C6BD0">
        <w:t xml:space="preserve"> в связи с возрастающим переходом субъектов малого предпринимательства на другие специальные налоговые режимы; развития патентной системы налогообложения;</w:t>
      </w:r>
    </w:p>
    <w:p w:rsidR="00910BD5" w:rsidRPr="00A856F2" w:rsidRDefault="00910BD5" w:rsidP="00910BD5">
      <w:pPr>
        <w:pStyle w:val="aa"/>
        <w:widowControl w:val="0"/>
        <w:numPr>
          <w:ilvl w:val="0"/>
          <w:numId w:val="2"/>
        </w:numPr>
        <w:tabs>
          <w:tab w:val="clear" w:pos="0"/>
          <w:tab w:val="num" w:pos="720"/>
        </w:tabs>
        <w:spacing w:before="0" w:after="0" w:line="276" w:lineRule="auto"/>
        <w:ind w:left="0" w:firstLine="709"/>
        <w:jc w:val="both"/>
      </w:pPr>
      <w:r w:rsidRPr="00A856F2">
        <w:t xml:space="preserve">- налоги на имущество: рост на </w:t>
      </w:r>
      <w:r w:rsidR="00C62098">
        <w:t>9,9</w:t>
      </w:r>
      <w:r w:rsidRPr="00A856F2">
        <w:t xml:space="preserve">%, в том числе: налог на имущество организаций – на 12,9% (прогнозируется с применением индекса-дефлятора инвестиций в основной капитал), налог на имущество физических лиц -  на </w:t>
      </w:r>
      <w:r w:rsidR="00C62098">
        <w:t>6,0</w:t>
      </w:r>
      <w:r w:rsidRPr="00A856F2">
        <w:t xml:space="preserve">%, транспортный налог – на 6,7%;  </w:t>
      </w:r>
    </w:p>
    <w:p w:rsidR="00910BD5" w:rsidRPr="00A856F2" w:rsidRDefault="00910BD5" w:rsidP="00910BD5">
      <w:pPr>
        <w:pStyle w:val="aa"/>
        <w:widowControl w:val="0"/>
        <w:numPr>
          <w:ilvl w:val="0"/>
          <w:numId w:val="2"/>
        </w:numPr>
        <w:tabs>
          <w:tab w:val="clear" w:pos="0"/>
          <w:tab w:val="num" w:pos="720"/>
        </w:tabs>
        <w:spacing w:before="0" w:after="0" w:line="276" w:lineRule="auto"/>
        <w:ind w:left="0" w:firstLine="709"/>
        <w:jc w:val="both"/>
      </w:pPr>
      <w:r w:rsidRPr="00A856F2">
        <w:t xml:space="preserve">- налоги, сборы за пользование природными ресурсами (налог на добычу общераспространенных полезных ископаемых, водный налог) и прочие налоговые доходы (госпошлина, налог на игорный бизнес, поступления по отмененным налогам и сборам, акцизы от Министерства управления финансами Самарской области по нормативам отчислений от акцизов на нефтепродукты в бюджеты муниципальных образований Самарской области на 2018 год): рост на </w:t>
      </w:r>
      <w:r w:rsidR="00C62098">
        <w:t>11,8</w:t>
      </w:r>
      <w:r w:rsidRPr="00A856F2">
        <w:t>%.</w:t>
      </w:r>
    </w:p>
    <w:p w:rsidR="00910BD5" w:rsidRPr="00A856F2" w:rsidRDefault="00910BD5" w:rsidP="00910BD5">
      <w:pPr>
        <w:pStyle w:val="aa"/>
        <w:widowControl w:val="0"/>
        <w:numPr>
          <w:ilvl w:val="0"/>
          <w:numId w:val="2"/>
        </w:numPr>
        <w:tabs>
          <w:tab w:val="clear" w:pos="0"/>
          <w:tab w:val="num" w:pos="720"/>
        </w:tabs>
        <w:spacing w:before="0" w:after="0" w:line="276" w:lineRule="auto"/>
        <w:ind w:left="0" w:firstLine="709"/>
        <w:jc w:val="both"/>
      </w:pPr>
      <w:r w:rsidRPr="00A856F2">
        <w:t>В прогнозном периоде в местный бюджет будет зачисляться ежегодно 13,6%-14,2% (по вариантам прогноза) от общего объёма налоговых доходов с территории городского округа</w:t>
      </w:r>
      <w:r w:rsidR="005615F0">
        <w:t xml:space="preserve"> Тольятти</w:t>
      </w:r>
      <w:r w:rsidRPr="00A856F2">
        <w:t>. Налоговые доходы бюджета городского округа Тольятти за прогнозный период (2022/2019) вырастут по консервативному варианту на 15,</w:t>
      </w:r>
      <w:r w:rsidR="00035369">
        <w:t>1</w:t>
      </w:r>
      <w:r w:rsidRPr="00A856F2">
        <w:t xml:space="preserve">%, по базовому варианту - на </w:t>
      </w:r>
      <w:r w:rsidR="00035369">
        <w:t>17,5</w:t>
      </w:r>
      <w:r w:rsidRPr="00A856F2">
        <w:t xml:space="preserve">%. </w:t>
      </w:r>
    </w:p>
    <w:p w:rsidR="00910BD5" w:rsidRPr="001E601B" w:rsidRDefault="00910BD5" w:rsidP="00910BD5">
      <w:pPr>
        <w:pStyle w:val="aa"/>
        <w:widowControl w:val="0"/>
        <w:numPr>
          <w:ilvl w:val="0"/>
          <w:numId w:val="2"/>
        </w:numPr>
        <w:tabs>
          <w:tab w:val="clear" w:pos="0"/>
          <w:tab w:val="num" w:pos="720"/>
        </w:tabs>
        <w:spacing w:before="0" w:after="0" w:line="276" w:lineRule="auto"/>
        <w:ind w:left="0" w:firstLine="709"/>
        <w:jc w:val="both"/>
      </w:pPr>
      <w:r w:rsidRPr="001E601B">
        <w:t xml:space="preserve">Неналоговые доходы местного бюджета к концу прогнозного периода могут сократиться на </w:t>
      </w:r>
      <w:r>
        <w:t>25,4</w:t>
      </w:r>
      <w:r w:rsidRPr="001E601B">
        <w:t xml:space="preserve">% по консервативному варианту прогноза и на </w:t>
      </w:r>
      <w:r>
        <w:t>17,6</w:t>
      </w:r>
      <w:r w:rsidRPr="001E601B">
        <w:t>% по базовому варианту прогноза, в основном, за счет снижения доходов от аренды муниципального имущества</w:t>
      </w:r>
      <w:r>
        <w:t>, а также</w:t>
      </w:r>
      <w:r w:rsidRPr="001E601B">
        <w:t xml:space="preserve"> </w:t>
      </w:r>
      <w:r>
        <w:t>с учётом отмены зачисления штрафных санкций в местный бюджет.</w:t>
      </w:r>
    </w:p>
    <w:p w:rsidR="00910BD5" w:rsidRPr="00F16EE8" w:rsidRDefault="00910BD5" w:rsidP="00910BD5">
      <w:pPr>
        <w:pStyle w:val="aa"/>
        <w:widowControl w:val="0"/>
        <w:numPr>
          <w:ilvl w:val="0"/>
          <w:numId w:val="2"/>
        </w:numPr>
        <w:tabs>
          <w:tab w:val="clear" w:pos="0"/>
          <w:tab w:val="num" w:pos="720"/>
        </w:tabs>
        <w:spacing w:before="0" w:after="0" w:line="276" w:lineRule="auto"/>
        <w:ind w:left="0" w:firstLine="709"/>
        <w:jc w:val="both"/>
      </w:pPr>
      <w:r w:rsidRPr="00F16EE8">
        <w:t xml:space="preserve">Рост страховых взносов на социальные нужды в государственные внебюджетные фонды предусмотрен на уровне прогнозируемых темпов роста НДФЛ: 119,7% и 122,3% (2022 </w:t>
      </w:r>
      <w:r w:rsidR="009F49DC">
        <w:t>год к</w:t>
      </w:r>
      <w:r w:rsidRPr="00F16EE8">
        <w:t xml:space="preserve"> 2019</w:t>
      </w:r>
      <w:r w:rsidR="009F49DC">
        <w:t xml:space="preserve"> году</w:t>
      </w:r>
      <w:r w:rsidRPr="00F16EE8">
        <w:t>) по вариантам прогноза соответственно.</w:t>
      </w:r>
    </w:p>
    <w:p w:rsidR="00910BD5" w:rsidRPr="001E601B" w:rsidRDefault="00910BD5" w:rsidP="00910BD5">
      <w:pPr>
        <w:pStyle w:val="aa"/>
        <w:widowControl w:val="0"/>
        <w:numPr>
          <w:ilvl w:val="0"/>
          <w:numId w:val="2"/>
        </w:numPr>
        <w:tabs>
          <w:tab w:val="clear" w:pos="0"/>
          <w:tab w:val="num" w:pos="720"/>
        </w:tabs>
        <w:spacing w:before="0" w:after="0" w:line="276" w:lineRule="auto"/>
        <w:ind w:left="0" w:firstLine="709"/>
        <w:jc w:val="both"/>
      </w:pPr>
      <w:r w:rsidRPr="001E601B">
        <w:t>Расходы государственных внебюджетных фондов (по данным администраторов расходов) вырастут в 2022 году по сравнению с 2019 годом на 16,5%.</w:t>
      </w:r>
    </w:p>
    <w:p w:rsidR="00910BD5" w:rsidRPr="00F16EE8" w:rsidRDefault="00910BD5" w:rsidP="00910BD5">
      <w:pPr>
        <w:pStyle w:val="aa"/>
        <w:widowControl w:val="0"/>
        <w:numPr>
          <w:ilvl w:val="0"/>
          <w:numId w:val="2"/>
        </w:numPr>
        <w:tabs>
          <w:tab w:val="clear" w:pos="0"/>
          <w:tab w:val="num" w:pos="720"/>
        </w:tabs>
        <w:spacing w:before="0" w:after="0" w:line="276" w:lineRule="auto"/>
        <w:ind w:left="0" w:firstLine="709"/>
        <w:jc w:val="both"/>
      </w:pPr>
      <w:r w:rsidRPr="00F16EE8">
        <w:t>Расходы за счет средств, остающихся в распоряжении организаций, формируются из прибыли (за вычетом налога на прибыль) и амортизационных отчислений. В 2022 году данные расходы относительно 2019 года вырастут на 7,3% и 21,2% по соответствующим вариантам прогноза.</w:t>
      </w:r>
    </w:p>
    <w:p w:rsidR="00910BD5" w:rsidRPr="00F16EE8" w:rsidRDefault="00910BD5" w:rsidP="00910BD5">
      <w:pPr>
        <w:pStyle w:val="aa"/>
        <w:widowControl w:val="0"/>
        <w:numPr>
          <w:ilvl w:val="0"/>
          <w:numId w:val="2"/>
        </w:numPr>
        <w:tabs>
          <w:tab w:val="clear" w:pos="0"/>
          <w:tab w:val="num" w:pos="720"/>
        </w:tabs>
        <w:spacing w:before="0" w:after="0" w:line="276" w:lineRule="auto"/>
        <w:ind w:left="0" w:firstLine="709"/>
        <w:jc w:val="both"/>
      </w:pPr>
      <w:r w:rsidRPr="00F16EE8">
        <w:t xml:space="preserve">Бюджетная политика городского округа Тольятти в прогнозном периоде будет направлена на исполнение принятых социальных обязательств и дальнейшее усиление экономности и эффективности расходования бюджетных средств, сокращение муниципального долга и расходов на его обслуживание, активное участие в привлечении средств вышестоящих бюджетов на финансирование расходов на строительство новых объектов социальной инфраструктуры и дорог, а также благоустройство территории в </w:t>
      </w:r>
      <w:r w:rsidRPr="00F16EE8">
        <w:lastRenderedPageBreak/>
        <w:t>рамках реализации приоритетных национальных проектов.</w:t>
      </w:r>
    </w:p>
    <w:p w:rsidR="00910BD5" w:rsidRPr="006A30C9" w:rsidRDefault="00910BD5" w:rsidP="00910BD5">
      <w:pPr>
        <w:pStyle w:val="aa"/>
        <w:widowControl w:val="0"/>
        <w:numPr>
          <w:ilvl w:val="0"/>
          <w:numId w:val="2"/>
        </w:numPr>
        <w:tabs>
          <w:tab w:val="clear" w:pos="0"/>
          <w:tab w:val="num" w:pos="720"/>
        </w:tabs>
        <w:spacing w:before="0" w:after="0" w:line="276" w:lineRule="auto"/>
        <w:ind w:left="0" w:firstLine="709"/>
        <w:jc w:val="both"/>
      </w:pPr>
      <w:r w:rsidRPr="006A30C9">
        <w:t>Расходы за счёт средств местного бюджета (без средств вышестоящих бюджетов) к 2022 году по сравнению с 2019 годом вырастут на 0,4%, 0,7% и 1,1%, и по базовому варианту учитывают расходы в рамках муниципальных программ (подробнее – в соответствующих разделах настоящего прогноза), в том числе на строительство дорог и объектов социальной сферы в рамках реализации национальных проектов.</w:t>
      </w:r>
    </w:p>
    <w:p w:rsidR="006A30C9" w:rsidRDefault="006A30C9" w:rsidP="007451F5">
      <w:pPr>
        <w:spacing w:after="0"/>
      </w:pPr>
    </w:p>
    <w:p w:rsidR="0024525F" w:rsidRDefault="0024525F" w:rsidP="004272BD">
      <w:pPr>
        <w:pStyle w:val="aa"/>
        <w:widowControl w:val="0"/>
        <w:numPr>
          <w:ilvl w:val="0"/>
          <w:numId w:val="2"/>
        </w:numPr>
        <w:tabs>
          <w:tab w:val="clear" w:pos="0"/>
          <w:tab w:val="num" w:pos="709"/>
        </w:tabs>
        <w:spacing w:before="0" w:after="0" w:line="276" w:lineRule="auto"/>
        <w:ind w:left="0" w:firstLine="0"/>
        <w:jc w:val="center"/>
        <w:rPr>
          <w:b/>
        </w:rPr>
      </w:pPr>
      <w:r w:rsidRPr="005A6EE9">
        <w:rPr>
          <w:b/>
        </w:rPr>
        <w:t>Демография и занятость населения</w:t>
      </w:r>
      <w:bookmarkStart w:id="5" w:name="демограф"/>
      <w:bookmarkEnd w:id="5"/>
    </w:p>
    <w:p w:rsidR="0089746F" w:rsidRDefault="0089746F" w:rsidP="0089746F">
      <w:pPr>
        <w:pStyle w:val="af"/>
        <w:rPr>
          <w:b/>
        </w:rPr>
      </w:pPr>
    </w:p>
    <w:p w:rsidR="005A6EE9" w:rsidRPr="008B1603" w:rsidRDefault="005A6EE9" w:rsidP="005A6EE9">
      <w:pPr>
        <w:widowControl w:val="0"/>
        <w:shd w:val="clear" w:color="auto" w:fill="FFFFFF"/>
        <w:suppressAutoHyphens/>
        <w:spacing w:after="0"/>
        <w:ind w:firstLine="709"/>
        <w:jc w:val="both"/>
        <w:rPr>
          <w:rFonts w:ascii="Times New Roman" w:hAnsi="Times New Roman"/>
          <w:sz w:val="24"/>
          <w:szCs w:val="24"/>
        </w:rPr>
      </w:pPr>
      <w:r w:rsidRPr="008B1603">
        <w:rPr>
          <w:rFonts w:ascii="Times New Roman" w:hAnsi="Times New Roman"/>
          <w:sz w:val="24"/>
          <w:szCs w:val="24"/>
        </w:rPr>
        <w:t>Прогноз демографических показателей на 2020 – 2022 годы учитывает реализацию национальных проектов «Демография» и «Здравоохранение», Плана мероприятий Самарской области на 2016 – 2020 годы по реализации Концепции демографической политики Российской Федерации на период до 2025 года,  Плана основных мероприятий до 2020 года, проводимых в Самарской области в рамках Десятилетия детства и др</w:t>
      </w:r>
      <w:r w:rsidR="009653D7">
        <w:rPr>
          <w:rFonts w:ascii="Times New Roman" w:hAnsi="Times New Roman"/>
          <w:sz w:val="24"/>
          <w:szCs w:val="24"/>
        </w:rPr>
        <w:t>угое</w:t>
      </w:r>
      <w:r w:rsidRPr="008B1603">
        <w:rPr>
          <w:rFonts w:ascii="Times New Roman" w:hAnsi="Times New Roman"/>
          <w:sz w:val="24"/>
          <w:szCs w:val="24"/>
        </w:rPr>
        <w:t xml:space="preserve">. </w:t>
      </w:r>
    </w:p>
    <w:p w:rsidR="005A6EE9" w:rsidRPr="008B1603" w:rsidRDefault="005A6EE9" w:rsidP="005A6EE9">
      <w:pPr>
        <w:tabs>
          <w:tab w:val="left" w:pos="8208"/>
        </w:tabs>
        <w:spacing w:after="0"/>
        <w:ind w:firstLine="709"/>
        <w:jc w:val="both"/>
        <w:rPr>
          <w:rFonts w:ascii="Times New Roman" w:hAnsi="Times New Roman"/>
          <w:sz w:val="24"/>
          <w:szCs w:val="24"/>
        </w:rPr>
      </w:pPr>
      <w:r w:rsidRPr="008B1603">
        <w:rPr>
          <w:rFonts w:ascii="Times New Roman" w:hAnsi="Times New Roman"/>
          <w:sz w:val="24"/>
          <w:szCs w:val="24"/>
        </w:rPr>
        <w:t xml:space="preserve"> Кроме того, на развитие демографических тенденций окажут влияние следующие основные факторы:</w:t>
      </w:r>
    </w:p>
    <w:p w:rsidR="005A6EE9" w:rsidRPr="008B1603" w:rsidRDefault="005A6EE9" w:rsidP="005A6EE9">
      <w:pPr>
        <w:tabs>
          <w:tab w:val="left" w:pos="8208"/>
        </w:tabs>
        <w:spacing w:after="0"/>
        <w:ind w:firstLine="709"/>
        <w:jc w:val="both"/>
        <w:rPr>
          <w:rFonts w:ascii="Times New Roman" w:hAnsi="Times New Roman"/>
          <w:sz w:val="24"/>
          <w:szCs w:val="24"/>
        </w:rPr>
      </w:pPr>
      <w:r w:rsidRPr="008B1603">
        <w:rPr>
          <w:rFonts w:ascii="Times New Roman" w:hAnsi="Times New Roman"/>
          <w:sz w:val="24"/>
          <w:szCs w:val="24"/>
        </w:rPr>
        <w:t xml:space="preserve">- сокращение численности женщин ранне- и средне-репродуктивного возраста 20-39 лет (в 2022 году их количество снизится на 11,8% или 11,9 тыс. человек относительно 2018 года), откладывание рождений на более поздний период, в результате чего возможности роста рождаемости будут ограничены; </w:t>
      </w:r>
    </w:p>
    <w:p w:rsidR="005A6EE9" w:rsidRPr="008B1603" w:rsidRDefault="005A6EE9" w:rsidP="005A6EE9">
      <w:pPr>
        <w:tabs>
          <w:tab w:val="left" w:pos="8208"/>
        </w:tabs>
        <w:spacing w:after="0"/>
        <w:ind w:firstLine="709"/>
        <w:jc w:val="both"/>
        <w:rPr>
          <w:rFonts w:ascii="Times New Roman" w:hAnsi="Times New Roman"/>
          <w:sz w:val="24"/>
          <w:szCs w:val="24"/>
        </w:rPr>
      </w:pPr>
      <w:r w:rsidRPr="008B1603">
        <w:rPr>
          <w:rFonts w:ascii="Times New Roman" w:hAnsi="Times New Roman"/>
          <w:sz w:val="24"/>
          <w:szCs w:val="24"/>
        </w:rPr>
        <w:t>- сохранение относительно высокой доли вторых и третьих рождений в семьях (порядка 60% от общего числа рождений), на что окажет влияние предоставление мер материальной поддержки семьям с детьми в зависимости от очередности рождения детей на федеральном и региональном уровнях, в том числе единовременная денежная выплата (семейный капитал) при рождении (усыновлении) третьего или последующих детей, ежемесячные денежные выплаты семьям при рождении третьего и каждого последующего ребенка до достижения ими возраста трех лет, поддержка студенческих семей, имеющих детей, реализация льготных ипотечных программ;</w:t>
      </w:r>
    </w:p>
    <w:p w:rsidR="005F2FCB" w:rsidRDefault="005A6EE9" w:rsidP="005A6EE9">
      <w:pPr>
        <w:tabs>
          <w:tab w:val="left" w:pos="8208"/>
        </w:tabs>
        <w:spacing w:after="0"/>
        <w:ind w:firstLine="709"/>
        <w:jc w:val="both"/>
        <w:rPr>
          <w:rFonts w:ascii="Times New Roman" w:hAnsi="Times New Roman"/>
          <w:sz w:val="24"/>
          <w:szCs w:val="24"/>
        </w:rPr>
      </w:pPr>
      <w:r w:rsidRPr="008B1603">
        <w:rPr>
          <w:rFonts w:ascii="Times New Roman" w:hAnsi="Times New Roman"/>
          <w:sz w:val="24"/>
          <w:szCs w:val="24"/>
        </w:rPr>
        <w:t xml:space="preserve">- изменение возрастной структуры населения с учетом нового пенсионного законодательства. Увеличение возраста выхода на пенсию позволит увеличить численность населения в трудоспособном возрасте. Однако, присутствие миграционного оттока населения также будет влиять на изменение возрастной структуры (более 75% мигрантов составляют граждане трудоспособного возраста). В связи с этими факторами доля этой возрастной группы в общей численности населения изменится незначительно и </w:t>
      </w:r>
    </w:p>
    <w:p w:rsidR="005A6EE9" w:rsidRPr="008B1603" w:rsidRDefault="005A6EE9" w:rsidP="005F2FCB">
      <w:pPr>
        <w:tabs>
          <w:tab w:val="left" w:pos="8208"/>
        </w:tabs>
        <w:spacing w:after="0" w:line="288" w:lineRule="auto"/>
        <w:jc w:val="both"/>
        <w:rPr>
          <w:rFonts w:ascii="Times New Roman" w:hAnsi="Times New Roman"/>
          <w:sz w:val="24"/>
          <w:szCs w:val="24"/>
        </w:rPr>
      </w:pPr>
      <w:r w:rsidRPr="008B1603">
        <w:rPr>
          <w:rFonts w:ascii="Times New Roman" w:hAnsi="Times New Roman"/>
          <w:sz w:val="24"/>
          <w:szCs w:val="24"/>
        </w:rPr>
        <w:t>достигнет в 2022 году 56,7% в общей численности населения против 56,4%, по оценке, в 2018 году. За счет снижения рождаемости уменьшится доля населения моложе трудоспособного возраста с 17,9% до 17,6% соответственно. При этом реализация мер по сохранению здоровья граждан будет способствовать дальнейшему увеличению показателя ожидаемой продолжительности жизни граждан. Учитывая вышеперечисленные факторы, доля граждан старше пенсионного возраста не изменится и составит к 2020 году 25,7%  (по оценке уровень 2018 года);</w:t>
      </w:r>
    </w:p>
    <w:p w:rsidR="005A6EE9" w:rsidRDefault="005A6EE9" w:rsidP="005F2FCB">
      <w:pPr>
        <w:tabs>
          <w:tab w:val="left" w:pos="8208"/>
        </w:tabs>
        <w:spacing w:after="0" w:line="288" w:lineRule="auto"/>
        <w:ind w:firstLine="709"/>
        <w:jc w:val="both"/>
        <w:rPr>
          <w:rFonts w:ascii="Times New Roman" w:hAnsi="Times New Roman"/>
          <w:sz w:val="24"/>
          <w:szCs w:val="24"/>
        </w:rPr>
      </w:pPr>
      <w:r w:rsidRPr="008B1603">
        <w:rPr>
          <w:rFonts w:ascii="Times New Roman" w:hAnsi="Times New Roman"/>
          <w:sz w:val="24"/>
          <w:szCs w:val="24"/>
        </w:rPr>
        <w:t>- постепенное сокращение миграционной убыли населения.</w:t>
      </w:r>
    </w:p>
    <w:p w:rsidR="005F2FCB" w:rsidRPr="004272BD" w:rsidRDefault="005F2FCB" w:rsidP="005F2FCB">
      <w:pPr>
        <w:pStyle w:val="Default"/>
        <w:widowControl w:val="0"/>
        <w:numPr>
          <w:ilvl w:val="0"/>
          <w:numId w:val="2"/>
        </w:numPr>
        <w:suppressAutoHyphens/>
        <w:spacing w:line="288" w:lineRule="auto"/>
        <w:ind w:left="0" w:firstLine="709"/>
        <w:jc w:val="both"/>
        <w:rPr>
          <w:bCs/>
          <w:spacing w:val="-2"/>
        </w:rPr>
      </w:pPr>
      <w:r w:rsidRPr="004272BD">
        <w:t xml:space="preserve">В результате действия этих факторов </w:t>
      </w:r>
      <w:r w:rsidRPr="004272BD">
        <w:rPr>
          <w:bCs/>
          <w:spacing w:val="-2"/>
        </w:rPr>
        <w:t>в 202</w:t>
      </w:r>
      <w:r>
        <w:rPr>
          <w:bCs/>
          <w:spacing w:val="-2"/>
        </w:rPr>
        <w:t>2</w:t>
      </w:r>
      <w:r w:rsidRPr="004272BD">
        <w:rPr>
          <w:bCs/>
          <w:spacing w:val="-2"/>
        </w:rPr>
        <w:t xml:space="preserve"> году </w:t>
      </w:r>
      <w:r w:rsidRPr="004272BD">
        <w:t xml:space="preserve">прогнозируется </w:t>
      </w:r>
      <w:r>
        <w:t xml:space="preserve">по </w:t>
      </w:r>
      <w:r w:rsidRPr="004272BD">
        <w:rPr>
          <w:bCs/>
          <w:spacing w:val="-2"/>
        </w:rPr>
        <w:t>базовому вариант</w:t>
      </w:r>
      <w:r>
        <w:rPr>
          <w:bCs/>
          <w:spacing w:val="-2"/>
        </w:rPr>
        <w:t>у</w:t>
      </w:r>
      <w:r w:rsidRPr="004272BD">
        <w:rPr>
          <w:bCs/>
          <w:spacing w:val="-2"/>
        </w:rPr>
        <w:t xml:space="preserve"> </w:t>
      </w:r>
      <w:r w:rsidRPr="004272BD">
        <w:t xml:space="preserve">сохранение </w:t>
      </w:r>
      <w:r w:rsidRPr="004272BD">
        <w:rPr>
          <w:bCs/>
          <w:spacing w:val="-2"/>
        </w:rPr>
        <w:t xml:space="preserve">естественной убыли населения на уровне </w:t>
      </w:r>
      <w:r>
        <w:rPr>
          <w:bCs/>
          <w:spacing w:val="-2"/>
        </w:rPr>
        <w:t xml:space="preserve">оценки 2019 года </w:t>
      </w:r>
      <w:r w:rsidRPr="004272BD">
        <w:rPr>
          <w:bCs/>
          <w:spacing w:val="-2"/>
        </w:rPr>
        <w:t>(-</w:t>
      </w:r>
      <w:r>
        <w:rPr>
          <w:bCs/>
          <w:spacing w:val="-2"/>
        </w:rPr>
        <w:t>1,7 тыс. человек</w:t>
      </w:r>
      <w:r w:rsidRPr="004272BD">
        <w:rPr>
          <w:bCs/>
          <w:spacing w:val="-2"/>
        </w:rPr>
        <w:t>)</w:t>
      </w:r>
      <w:r>
        <w:rPr>
          <w:bCs/>
          <w:spacing w:val="-2"/>
        </w:rPr>
        <w:t xml:space="preserve">, </w:t>
      </w:r>
      <w:r w:rsidRPr="004272BD">
        <w:rPr>
          <w:bCs/>
          <w:spacing w:val="-2"/>
        </w:rPr>
        <w:t xml:space="preserve"> по консервативному вариант</w:t>
      </w:r>
      <w:r>
        <w:rPr>
          <w:bCs/>
          <w:spacing w:val="-2"/>
        </w:rPr>
        <w:t>у</w:t>
      </w:r>
      <w:r w:rsidRPr="004272BD">
        <w:rPr>
          <w:bCs/>
          <w:spacing w:val="-2"/>
        </w:rPr>
        <w:t xml:space="preserve"> прогноза </w:t>
      </w:r>
      <w:r w:rsidR="009F49DC">
        <w:rPr>
          <w:bCs/>
          <w:spacing w:val="-2"/>
        </w:rPr>
        <w:t>(</w:t>
      </w:r>
      <w:r w:rsidRPr="004272BD">
        <w:rPr>
          <w:bCs/>
          <w:spacing w:val="-2"/>
        </w:rPr>
        <w:t>-2,1</w:t>
      </w:r>
      <w:r w:rsidR="009F49DC">
        <w:rPr>
          <w:bCs/>
          <w:spacing w:val="-2"/>
        </w:rPr>
        <w:t>)</w:t>
      </w:r>
      <w:r w:rsidRPr="004272BD">
        <w:rPr>
          <w:bCs/>
          <w:spacing w:val="-2"/>
        </w:rPr>
        <w:t xml:space="preserve"> тыс. человек. </w:t>
      </w:r>
    </w:p>
    <w:p w:rsidR="005A6EE9" w:rsidRPr="008B1603" w:rsidRDefault="005A6EE9" w:rsidP="005F2FCB">
      <w:pPr>
        <w:widowControl w:val="0"/>
        <w:shd w:val="clear" w:color="auto" w:fill="FFFFFF"/>
        <w:suppressAutoHyphens/>
        <w:spacing w:after="0" w:line="288" w:lineRule="auto"/>
        <w:ind w:firstLine="709"/>
        <w:jc w:val="both"/>
        <w:rPr>
          <w:rFonts w:ascii="Times New Roman" w:hAnsi="Times New Roman"/>
          <w:sz w:val="24"/>
          <w:szCs w:val="24"/>
        </w:rPr>
      </w:pPr>
      <w:r w:rsidRPr="008B1603">
        <w:rPr>
          <w:rFonts w:ascii="Times New Roman" w:hAnsi="Times New Roman"/>
          <w:sz w:val="24"/>
          <w:szCs w:val="24"/>
        </w:rPr>
        <w:lastRenderedPageBreak/>
        <w:t>На ситуацию миграционных процессов повлияет ожидаемое сокращение выбывающих граждан городского округа Тольятти, в том числе обучающейся молодежи, привлечение трудовых мигрантов в лице соотечественников, проживающих за рубежом, квалифицированных специалистов  на вновь открывающиеся рабочие места, в том числе в результате реализации инвестиционных проектов резидентами территории опережающего социально-экономического развития «Тольятти», индустриальных парков, а также в ходе строительства и реконструкции на территории города социальных и инфраструктурных объектов, что приведет к постепенному сокращению отрицательного сальдо миграции в прогнозный период.</w:t>
      </w:r>
    </w:p>
    <w:p w:rsidR="005A6EE9" w:rsidRDefault="005A6EE9" w:rsidP="005F2FCB">
      <w:pPr>
        <w:shd w:val="clear" w:color="auto" w:fill="FFFFFF"/>
        <w:spacing w:after="0" w:line="288" w:lineRule="auto"/>
        <w:ind w:firstLine="709"/>
        <w:jc w:val="both"/>
        <w:rPr>
          <w:rFonts w:ascii="Times New Roman" w:hAnsi="Times New Roman"/>
          <w:sz w:val="24"/>
          <w:szCs w:val="24"/>
        </w:rPr>
      </w:pPr>
      <w:r w:rsidRPr="008B1603">
        <w:rPr>
          <w:rFonts w:ascii="Times New Roman" w:hAnsi="Times New Roman"/>
          <w:sz w:val="24"/>
          <w:szCs w:val="24"/>
        </w:rPr>
        <w:t xml:space="preserve">Миграционная убыль в 2020 году может составить (-3,0) - (-2,0) тыс. человек в зависимости от варианта прогноза, к 2022 году по консервативному варианту миграционная убыль составит </w:t>
      </w:r>
      <w:r w:rsidR="009F49DC">
        <w:rPr>
          <w:rFonts w:ascii="Times New Roman" w:hAnsi="Times New Roman"/>
          <w:sz w:val="24"/>
          <w:szCs w:val="24"/>
        </w:rPr>
        <w:t>(</w:t>
      </w:r>
      <w:r w:rsidRPr="008B1603">
        <w:rPr>
          <w:rFonts w:ascii="Times New Roman" w:hAnsi="Times New Roman"/>
          <w:sz w:val="24"/>
          <w:szCs w:val="24"/>
        </w:rPr>
        <w:t>-1,0</w:t>
      </w:r>
      <w:r w:rsidR="009F49DC">
        <w:rPr>
          <w:rFonts w:ascii="Times New Roman" w:hAnsi="Times New Roman"/>
          <w:sz w:val="24"/>
          <w:szCs w:val="24"/>
        </w:rPr>
        <w:t>)</w:t>
      </w:r>
      <w:r w:rsidRPr="008B1603">
        <w:rPr>
          <w:rFonts w:ascii="Times New Roman" w:hAnsi="Times New Roman"/>
          <w:sz w:val="24"/>
          <w:szCs w:val="24"/>
        </w:rPr>
        <w:t xml:space="preserve"> тыс. человек, по базовому варианту – не ожидается.</w:t>
      </w:r>
    </w:p>
    <w:p w:rsidR="005A6EE9" w:rsidRPr="008B1603" w:rsidRDefault="005A6EE9" w:rsidP="005F2FCB">
      <w:pPr>
        <w:spacing w:after="0" w:line="288" w:lineRule="auto"/>
        <w:ind w:firstLine="709"/>
        <w:jc w:val="both"/>
        <w:rPr>
          <w:rFonts w:ascii="Times New Roman" w:hAnsi="Times New Roman"/>
          <w:sz w:val="24"/>
          <w:szCs w:val="24"/>
        </w:rPr>
      </w:pPr>
      <w:r w:rsidRPr="008B1603">
        <w:rPr>
          <w:rFonts w:ascii="Times New Roman" w:hAnsi="Times New Roman"/>
          <w:sz w:val="24"/>
          <w:szCs w:val="24"/>
        </w:rPr>
        <w:t xml:space="preserve">Численность населения на протяжении всего прогнозного периода будет уменьшаться и в 2022 году в среднегодовом выражении может составить соответственно по вариантам 686,4-689,9 тыс. человек, на 2,7-2,2%% меньше, чем в 2018 году. </w:t>
      </w:r>
    </w:p>
    <w:p w:rsidR="009F51FA" w:rsidRPr="009F51FA" w:rsidRDefault="009F51FA" w:rsidP="005F2FCB">
      <w:pPr>
        <w:tabs>
          <w:tab w:val="left" w:pos="8208"/>
        </w:tabs>
        <w:spacing w:after="0" w:line="288" w:lineRule="auto"/>
        <w:ind w:firstLine="709"/>
        <w:jc w:val="both"/>
        <w:rPr>
          <w:rFonts w:ascii="Times New Roman" w:hAnsi="Times New Roman"/>
          <w:sz w:val="24"/>
          <w:szCs w:val="24"/>
        </w:rPr>
      </w:pPr>
      <w:r w:rsidRPr="009F51FA">
        <w:rPr>
          <w:rFonts w:ascii="Times New Roman" w:hAnsi="Times New Roman"/>
          <w:sz w:val="24"/>
          <w:szCs w:val="24"/>
        </w:rPr>
        <w:t xml:space="preserve">В среднесрочной перспективе развитие </w:t>
      </w:r>
      <w:r w:rsidRPr="009F51FA">
        <w:rPr>
          <w:rFonts w:ascii="Times New Roman" w:hAnsi="Times New Roman"/>
          <w:b/>
          <w:sz w:val="24"/>
          <w:szCs w:val="24"/>
        </w:rPr>
        <w:t>сферы занятости и рынка труда</w:t>
      </w:r>
      <w:r w:rsidRPr="009F51FA">
        <w:rPr>
          <w:rFonts w:ascii="Times New Roman" w:hAnsi="Times New Roman"/>
          <w:sz w:val="24"/>
          <w:szCs w:val="24"/>
        </w:rPr>
        <w:t xml:space="preserve"> городского округа </w:t>
      </w:r>
      <w:r w:rsidR="0089746F">
        <w:rPr>
          <w:rFonts w:ascii="Times New Roman" w:hAnsi="Times New Roman"/>
          <w:sz w:val="24"/>
          <w:szCs w:val="24"/>
        </w:rPr>
        <w:t xml:space="preserve">Тольятти </w:t>
      </w:r>
      <w:r w:rsidRPr="009F51FA">
        <w:rPr>
          <w:rFonts w:ascii="Times New Roman" w:hAnsi="Times New Roman"/>
          <w:sz w:val="24"/>
          <w:szCs w:val="24"/>
        </w:rPr>
        <w:t>будет определяться демографическими изменениями, обусловленными увеличением численности населения трудоспособного возраста вследствие повышения возрастной границы выхода населения на пенсию, а также прогнозируемым экономическим ростом.</w:t>
      </w:r>
    </w:p>
    <w:p w:rsidR="009F51FA" w:rsidRPr="009F51FA" w:rsidRDefault="009F51FA" w:rsidP="005F2FCB">
      <w:pPr>
        <w:pStyle w:val="af"/>
        <w:spacing w:line="288" w:lineRule="auto"/>
        <w:ind w:left="0" w:firstLine="709"/>
        <w:jc w:val="both"/>
        <w:rPr>
          <w:sz w:val="24"/>
          <w:szCs w:val="24"/>
        </w:rPr>
      </w:pPr>
      <w:r w:rsidRPr="009F51FA">
        <w:rPr>
          <w:sz w:val="24"/>
          <w:szCs w:val="24"/>
        </w:rPr>
        <w:t>Численность населения в трудоспособном возрасте в 2020-2022 годы будет снижаться менее значительными темпами, чем в предыдущих периодах. Так, в 2022 году население трудоспособного возраста уменьшится к оценке 2019 года предположительно на 4,4 тыс. человек (1,1%) по консервативному варианту, на 2,4 тыс. человек (0,6%) - по базовому.</w:t>
      </w:r>
    </w:p>
    <w:p w:rsidR="009F51FA" w:rsidRPr="009F51FA" w:rsidRDefault="009F51FA" w:rsidP="005F2FCB">
      <w:pPr>
        <w:spacing w:after="0" w:line="288" w:lineRule="auto"/>
        <w:ind w:firstLine="709"/>
        <w:jc w:val="both"/>
        <w:rPr>
          <w:rFonts w:ascii="Times New Roman" w:hAnsi="Times New Roman"/>
          <w:sz w:val="24"/>
          <w:szCs w:val="24"/>
        </w:rPr>
      </w:pPr>
      <w:r w:rsidRPr="009F51FA">
        <w:rPr>
          <w:rFonts w:ascii="Times New Roman" w:hAnsi="Times New Roman"/>
          <w:sz w:val="24"/>
          <w:szCs w:val="24"/>
        </w:rPr>
        <w:t>Кроме демографических процессов на ситуацию на рынке труда будут оказывать влияние процессы восстановления экономической активности в городском округе</w:t>
      </w:r>
      <w:r w:rsidR="0089746F">
        <w:rPr>
          <w:rFonts w:ascii="Times New Roman" w:hAnsi="Times New Roman"/>
          <w:sz w:val="24"/>
          <w:szCs w:val="24"/>
        </w:rPr>
        <w:t xml:space="preserve"> Тольятти</w:t>
      </w:r>
      <w:r w:rsidRPr="009F51FA">
        <w:rPr>
          <w:rFonts w:ascii="Times New Roman" w:hAnsi="Times New Roman"/>
          <w:sz w:val="24"/>
          <w:szCs w:val="24"/>
        </w:rPr>
        <w:t xml:space="preserve">, необходимость повышения производительности труда. </w:t>
      </w:r>
    </w:p>
    <w:p w:rsidR="009F51FA" w:rsidRDefault="009F51FA" w:rsidP="005F2FCB">
      <w:pPr>
        <w:tabs>
          <w:tab w:val="left" w:pos="8208"/>
        </w:tabs>
        <w:spacing w:after="0" w:line="288" w:lineRule="auto"/>
        <w:ind w:firstLine="709"/>
        <w:jc w:val="both"/>
        <w:rPr>
          <w:rFonts w:ascii="Times New Roman" w:hAnsi="Times New Roman"/>
          <w:sz w:val="24"/>
          <w:szCs w:val="24"/>
        </w:rPr>
      </w:pPr>
      <w:r w:rsidRPr="009F51FA">
        <w:rPr>
          <w:rFonts w:ascii="Times New Roman" w:hAnsi="Times New Roman"/>
          <w:sz w:val="24"/>
          <w:szCs w:val="24"/>
        </w:rPr>
        <w:t xml:space="preserve">В целях улучшения ситуации на рынке труда будут реализовываться: региональный проект «Поддержка занятости и повышение эффективности рынка труда для обеспечения роста производительности труда»; государственные программы «Содействие занятости населения Самарской области на 2019 – 2023 годы», «Оказание содействия добровольному переселению в Самарскую область соотечественников, проживающих за рубежом» на 2014 – 2023 годы; межведомственный План мероприятий по содействию занятости работников предпенсионного возраста и выпускников профессиональных образовательных организаций и образовательных организаций высшего образования на 2018 – 2020 годы; межведомственный план мероприятий по содействию занятости, в том числе в трудоустройстве, на рабочие места с гибкими формами занятости, родителей, воспитывающих несовершеннолетних детей, включая лиц, находящихся в отпуске по уходу за ребенком до достижения им возраста трех лет, на 2018 – 2020 годы; План мероприятий по развитию в Самарской области движения «Молодые профессионалы» («Ворлдскиллс Россия») и «Абилимпикс» на 2017 – 2020 годы; План мероприятий, направленных на создание условий для повышения удельного веса </w:t>
      </w:r>
      <w:r w:rsidRPr="009F51FA">
        <w:rPr>
          <w:rFonts w:ascii="Times New Roman" w:hAnsi="Times New Roman"/>
          <w:sz w:val="24"/>
          <w:szCs w:val="24"/>
        </w:rPr>
        <w:lastRenderedPageBreak/>
        <w:t xml:space="preserve">численности высококвалифицированных работников в общей численности квалифицированных работников в Самарской области, на 2014 – 2020 годы; План мероприятий по развитию национальной системы профессиональных квалификаций в Самарской области на 2017 – 2020 годы. </w:t>
      </w:r>
    </w:p>
    <w:p w:rsidR="009F51FA" w:rsidRPr="009F51FA" w:rsidRDefault="009F51FA" w:rsidP="009F51FA">
      <w:pPr>
        <w:widowControl w:val="0"/>
        <w:suppressAutoHyphens/>
        <w:spacing w:after="0"/>
        <w:ind w:firstLine="709"/>
        <w:jc w:val="both"/>
        <w:rPr>
          <w:rFonts w:ascii="Times New Roman" w:hAnsi="Times New Roman"/>
          <w:sz w:val="24"/>
          <w:szCs w:val="24"/>
        </w:rPr>
      </w:pPr>
      <w:r w:rsidRPr="009F51FA">
        <w:rPr>
          <w:rFonts w:ascii="Times New Roman" w:hAnsi="Times New Roman"/>
          <w:sz w:val="24"/>
          <w:szCs w:val="24"/>
        </w:rPr>
        <w:t xml:space="preserve">В 2020 – 2022 годах на развитие экономики городского округа Тольятти будут оказывать влияние следующие факторы: стимулирование спроса на продукцию автомобилестроения; поддержка импортозамещения; реализация проектов на предприятиях химического комплекса (ПАО «КуйбышевАзот», ПАО «Тольяттиазот»); запуск новых производств на территории ОЭЗ ППТ «Тольятти»; развитие технопарка в сфере высоких технологий «Жигулевская долина», индустриальных парков «Тольяттисинтез»; ТОСЭР «Тольятти»; привлечение средств некоммерческой организации «Фонд развития моногородов» на реализацию инфраструктурных проектов; федеральная поддержка организаций промышленности по линии Фонда развития промышленности; реализация мероприятий по развитию социальной и улично-дорожной инфраструктуры Тольятти в рамках подготовки и проведения празднования 50-летия выпуска первого легкового автомобиля ВАЗ в городе Тольятти. </w:t>
      </w:r>
    </w:p>
    <w:p w:rsidR="009F51FA" w:rsidRPr="009F51FA" w:rsidRDefault="009F51FA" w:rsidP="009F51FA">
      <w:pPr>
        <w:spacing w:after="0"/>
        <w:ind w:firstLine="709"/>
        <w:jc w:val="both"/>
        <w:rPr>
          <w:rFonts w:ascii="Times New Roman" w:hAnsi="Times New Roman"/>
          <w:sz w:val="24"/>
          <w:szCs w:val="24"/>
        </w:rPr>
      </w:pPr>
      <w:r w:rsidRPr="009F51FA">
        <w:rPr>
          <w:rFonts w:ascii="Times New Roman" w:hAnsi="Times New Roman"/>
          <w:sz w:val="24"/>
          <w:szCs w:val="24"/>
        </w:rPr>
        <w:t>Рисками ухудшения ситуации на рынке труда являются размеры накопленной неэффективной занятости и необходимость дальнейшей оптимизации численности персонала предприятий, ситуация на АО «АВТОВАЗ», которая во многом определяет положение и пред</w:t>
      </w:r>
      <w:r w:rsidR="00A95E97">
        <w:rPr>
          <w:rFonts w:ascii="Times New Roman" w:hAnsi="Times New Roman"/>
          <w:sz w:val="24"/>
          <w:szCs w:val="24"/>
        </w:rPr>
        <w:t>п</w:t>
      </w:r>
      <w:r w:rsidRPr="009F51FA">
        <w:rPr>
          <w:rFonts w:ascii="Times New Roman" w:hAnsi="Times New Roman"/>
          <w:sz w:val="24"/>
          <w:szCs w:val="24"/>
        </w:rPr>
        <w:t>риятий-смежников и др.</w:t>
      </w:r>
    </w:p>
    <w:p w:rsidR="009F51FA" w:rsidRPr="009F51FA" w:rsidRDefault="009F51FA" w:rsidP="009F51FA">
      <w:pPr>
        <w:spacing w:after="0"/>
        <w:ind w:firstLine="709"/>
        <w:jc w:val="both"/>
        <w:rPr>
          <w:rFonts w:ascii="Times New Roman" w:hAnsi="Times New Roman"/>
          <w:sz w:val="24"/>
          <w:szCs w:val="24"/>
        </w:rPr>
      </w:pPr>
      <w:r w:rsidRPr="009F51FA">
        <w:rPr>
          <w:rFonts w:ascii="Times New Roman" w:hAnsi="Times New Roman"/>
          <w:sz w:val="24"/>
          <w:szCs w:val="24"/>
        </w:rPr>
        <w:t xml:space="preserve">Базовый вариант прогноза предполагает постепенное наращивание экономического потенциала городского округа Тольятти в условиях полномасштабной реализации национальных проектов. Увеличение производительности труда, основанное на технологической модернизации производств, внедрении принципов бережливого производства, цифровых технологий, стимулировании инновационной деятельности, повышении квалификации персонала. Росту показателя будет способствовать реализация региональной составляющей национального проекта «Производительность труда и поддержка занятости». Основной деятельностью в данном направлении станет поддержка программ повышения производительности труда на предприятиях и реализация активных программ по обучению и трудоустройству работников предприятий-участников национального проекта. </w:t>
      </w:r>
    </w:p>
    <w:p w:rsidR="00313021" w:rsidRDefault="009F51FA" w:rsidP="009F51FA">
      <w:pPr>
        <w:pStyle w:val="af"/>
        <w:widowControl w:val="0"/>
        <w:numPr>
          <w:ilvl w:val="0"/>
          <w:numId w:val="2"/>
        </w:numPr>
        <w:shd w:val="clear" w:color="auto" w:fill="FFFFFF"/>
        <w:suppressAutoHyphens/>
        <w:spacing w:line="276" w:lineRule="auto"/>
        <w:ind w:left="0" w:firstLine="709"/>
        <w:jc w:val="both"/>
        <w:rPr>
          <w:sz w:val="24"/>
          <w:szCs w:val="24"/>
        </w:rPr>
      </w:pPr>
      <w:r w:rsidRPr="009F51FA">
        <w:rPr>
          <w:sz w:val="24"/>
          <w:szCs w:val="24"/>
        </w:rPr>
        <w:t xml:space="preserve">По базовому варианту прогноза трудовые ресурсы прогнозируются на уровне 425,5 тыс., снижение на 1,4%. Численность занятых в экономике увеличится за три прогнозных года (на 0,9%) до 366,5 тыс. человек. Расчет данного показателя произведен с учетом изменения численности населения трудоспособного возраста (повышение пенсионного возраста), а также с учетом роста рабочих мест в городе в рамках реализации национального проекта «Малое и среднее предпринимательство и поддержка индивидуальной предпринимательской инициативы» и реализация проекта по развитию ТОСЭР «Тольятти». </w:t>
      </w:r>
    </w:p>
    <w:p w:rsidR="009F51FA" w:rsidRPr="009F51FA" w:rsidRDefault="009F51FA" w:rsidP="008D67BA">
      <w:pPr>
        <w:pStyle w:val="af"/>
        <w:widowControl w:val="0"/>
        <w:numPr>
          <w:ilvl w:val="0"/>
          <w:numId w:val="2"/>
        </w:numPr>
        <w:shd w:val="clear" w:color="auto" w:fill="FFFFFF"/>
        <w:suppressAutoHyphens/>
        <w:spacing w:line="276" w:lineRule="auto"/>
        <w:ind w:left="0" w:firstLine="709"/>
        <w:jc w:val="both"/>
        <w:rPr>
          <w:sz w:val="24"/>
          <w:szCs w:val="24"/>
        </w:rPr>
      </w:pPr>
      <w:r w:rsidRPr="009F51FA">
        <w:rPr>
          <w:sz w:val="24"/>
          <w:szCs w:val="24"/>
        </w:rPr>
        <w:t>Следует отметить, что несмотря на создание значительного количества  рабочих мест в рамках реализации данных проектов в прогнозном периоде (около 17,6 тыс.</w:t>
      </w:r>
      <w:r w:rsidR="005615F0">
        <w:rPr>
          <w:sz w:val="24"/>
          <w:szCs w:val="24"/>
        </w:rPr>
        <w:t xml:space="preserve"> </w:t>
      </w:r>
      <w:r w:rsidRPr="009F51FA">
        <w:rPr>
          <w:sz w:val="24"/>
          <w:szCs w:val="24"/>
        </w:rPr>
        <w:t>рабочих мест за 4 года), сдерживать существенный рост занятых в экономике будут факторы естественной и миграционной убыли граждан (по данным причинам из числа занятых с 2019 по 2022 годы по нашей оценке высвободится порядка  6,0 тыс. человек), а также фактор перемещения работников крупных предприятий в сферу малого бизнеса (</w:t>
      </w:r>
      <w:r w:rsidR="008D67BA">
        <w:rPr>
          <w:sz w:val="24"/>
          <w:szCs w:val="24"/>
        </w:rPr>
        <w:t>в</w:t>
      </w:r>
      <w:r w:rsidR="008D67BA" w:rsidRPr="008D67BA">
        <w:rPr>
          <w:sz w:val="24"/>
          <w:szCs w:val="24"/>
        </w:rPr>
        <w:t xml:space="preserve"> </w:t>
      </w:r>
      <w:r w:rsidR="008D67BA" w:rsidRPr="008D67BA">
        <w:rPr>
          <w:sz w:val="24"/>
          <w:szCs w:val="24"/>
        </w:rPr>
        <w:lastRenderedPageBreak/>
        <w:t xml:space="preserve">2017-2018 </w:t>
      </w:r>
      <w:r w:rsidR="008D67BA">
        <w:rPr>
          <w:sz w:val="24"/>
          <w:szCs w:val="24"/>
        </w:rPr>
        <w:t>годах</w:t>
      </w:r>
      <w:r w:rsidRPr="009F51FA">
        <w:rPr>
          <w:sz w:val="24"/>
          <w:szCs w:val="24"/>
        </w:rPr>
        <w:t xml:space="preserve"> количество </w:t>
      </w:r>
      <w:r w:rsidR="008D67BA">
        <w:rPr>
          <w:sz w:val="24"/>
          <w:szCs w:val="24"/>
        </w:rPr>
        <w:t xml:space="preserve">рабочих мест </w:t>
      </w:r>
      <w:r w:rsidRPr="009F51FA">
        <w:rPr>
          <w:sz w:val="24"/>
          <w:szCs w:val="24"/>
        </w:rPr>
        <w:t xml:space="preserve">крупных </w:t>
      </w:r>
      <w:r w:rsidR="008D67BA">
        <w:rPr>
          <w:sz w:val="24"/>
          <w:szCs w:val="24"/>
        </w:rPr>
        <w:t xml:space="preserve">и средних </w:t>
      </w:r>
      <w:r w:rsidRPr="009F51FA">
        <w:rPr>
          <w:sz w:val="24"/>
          <w:szCs w:val="24"/>
        </w:rPr>
        <w:t>предприятий сокра</w:t>
      </w:r>
      <w:r w:rsidR="008D67BA">
        <w:rPr>
          <w:sz w:val="24"/>
          <w:szCs w:val="24"/>
        </w:rPr>
        <w:t>тилось</w:t>
      </w:r>
      <w:r w:rsidRPr="009F51FA">
        <w:rPr>
          <w:sz w:val="24"/>
          <w:szCs w:val="24"/>
        </w:rPr>
        <w:t xml:space="preserve"> на </w:t>
      </w:r>
      <w:r w:rsidR="008D67BA">
        <w:rPr>
          <w:sz w:val="24"/>
          <w:szCs w:val="24"/>
        </w:rPr>
        <w:t>16,4</w:t>
      </w:r>
      <w:r w:rsidRPr="009F51FA">
        <w:rPr>
          <w:sz w:val="24"/>
          <w:szCs w:val="24"/>
        </w:rPr>
        <w:t xml:space="preserve"> тыс.</w:t>
      </w:r>
      <w:r w:rsidR="008D67BA">
        <w:rPr>
          <w:sz w:val="24"/>
          <w:szCs w:val="24"/>
        </w:rPr>
        <w:t xml:space="preserve"> единиц</w:t>
      </w:r>
      <w:r w:rsidRPr="009F51FA">
        <w:rPr>
          <w:sz w:val="24"/>
          <w:szCs w:val="24"/>
        </w:rPr>
        <w:t xml:space="preserve">).  </w:t>
      </w:r>
    </w:p>
    <w:p w:rsidR="009F51FA" w:rsidRPr="009F51FA" w:rsidRDefault="009F51FA" w:rsidP="009F51FA">
      <w:pPr>
        <w:pStyle w:val="af"/>
        <w:widowControl w:val="0"/>
        <w:numPr>
          <w:ilvl w:val="0"/>
          <w:numId w:val="2"/>
        </w:numPr>
        <w:shd w:val="clear" w:color="auto" w:fill="FFFFFF"/>
        <w:suppressAutoHyphens/>
        <w:spacing w:line="276" w:lineRule="auto"/>
        <w:ind w:left="0" w:firstLine="709"/>
        <w:jc w:val="both"/>
        <w:rPr>
          <w:sz w:val="24"/>
          <w:szCs w:val="24"/>
        </w:rPr>
      </w:pPr>
      <w:r w:rsidRPr="009F51FA">
        <w:rPr>
          <w:sz w:val="24"/>
          <w:szCs w:val="24"/>
        </w:rPr>
        <w:t>Уровень безработицы прогнозируется на относительно невысоком уровне в течение всего прогнозного периода (в 2022 году среднегодовая численность безработных составит 3,8-3,1 тыс. человек соответственно по вариантам прогноза, уровень безработицы относительно  численности трудоспособного населения ожидается на уровне 0,98% - 0,79%, расчет произведен Центром занятости населения).</w:t>
      </w:r>
    </w:p>
    <w:p w:rsidR="00551475" w:rsidRPr="0096463D" w:rsidRDefault="00551475" w:rsidP="00E62254">
      <w:pPr>
        <w:pStyle w:val="af"/>
        <w:numPr>
          <w:ilvl w:val="0"/>
          <w:numId w:val="2"/>
        </w:numPr>
        <w:spacing w:line="276" w:lineRule="auto"/>
        <w:ind w:left="0" w:firstLine="0"/>
        <w:jc w:val="center"/>
        <w:rPr>
          <w:bCs/>
          <w:color w:val="000000"/>
          <w:sz w:val="24"/>
          <w:szCs w:val="24"/>
          <w:highlight w:val="yellow"/>
        </w:rPr>
      </w:pPr>
    </w:p>
    <w:p w:rsidR="00E62254" w:rsidRPr="005A6EE9" w:rsidRDefault="0024525F" w:rsidP="00E62254">
      <w:pPr>
        <w:pStyle w:val="af"/>
        <w:numPr>
          <w:ilvl w:val="0"/>
          <w:numId w:val="2"/>
        </w:numPr>
        <w:spacing w:line="276" w:lineRule="auto"/>
        <w:ind w:left="0" w:firstLine="0"/>
        <w:jc w:val="center"/>
        <w:rPr>
          <w:sz w:val="24"/>
          <w:szCs w:val="24"/>
        </w:rPr>
      </w:pPr>
      <w:r w:rsidRPr="005A6EE9">
        <w:rPr>
          <w:b/>
          <w:sz w:val="24"/>
          <w:szCs w:val="24"/>
        </w:rPr>
        <w:t>Заработная плата</w:t>
      </w:r>
      <w:bookmarkStart w:id="6" w:name="зарплата"/>
      <w:bookmarkEnd w:id="6"/>
    </w:p>
    <w:p w:rsidR="00E837D2" w:rsidRPr="0096463D" w:rsidRDefault="00E837D2" w:rsidP="00E837D2">
      <w:pPr>
        <w:pStyle w:val="af"/>
        <w:rPr>
          <w:sz w:val="24"/>
          <w:szCs w:val="24"/>
          <w:highlight w:val="yellow"/>
        </w:rPr>
      </w:pPr>
    </w:p>
    <w:p w:rsidR="005A6EE9" w:rsidRDefault="005A6EE9" w:rsidP="005A6EE9">
      <w:pPr>
        <w:pStyle w:val="af"/>
        <w:numPr>
          <w:ilvl w:val="0"/>
          <w:numId w:val="2"/>
        </w:numPr>
        <w:spacing w:line="276" w:lineRule="auto"/>
        <w:ind w:left="0" w:firstLine="709"/>
        <w:jc w:val="both"/>
        <w:rPr>
          <w:sz w:val="24"/>
          <w:szCs w:val="24"/>
        </w:rPr>
      </w:pPr>
      <w:r w:rsidRPr="00F51059">
        <w:rPr>
          <w:sz w:val="24"/>
          <w:szCs w:val="24"/>
        </w:rPr>
        <w:t>С учетом ожидаемы</w:t>
      </w:r>
      <w:r>
        <w:rPr>
          <w:sz w:val="24"/>
          <w:szCs w:val="24"/>
        </w:rPr>
        <w:t>х</w:t>
      </w:r>
      <w:r w:rsidRPr="00F51059">
        <w:rPr>
          <w:sz w:val="24"/>
          <w:szCs w:val="24"/>
        </w:rPr>
        <w:t xml:space="preserve"> темп</w:t>
      </w:r>
      <w:r>
        <w:rPr>
          <w:sz w:val="24"/>
          <w:szCs w:val="24"/>
        </w:rPr>
        <w:t>ов</w:t>
      </w:r>
      <w:r w:rsidRPr="00F51059">
        <w:rPr>
          <w:sz w:val="24"/>
          <w:szCs w:val="24"/>
        </w:rPr>
        <w:t xml:space="preserve"> развития экономики среднемесячная номинальная начисленная заработная плата работников </w:t>
      </w:r>
      <w:r w:rsidR="00313021">
        <w:rPr>
          <w:sz w:val="24"/>
          <w:szCs w:val="24"/>
        </w:rPr>
        <w:t xml:space="preserve">организаций </w:t>
      </w:r>
      <w:r w:rsidRPr="00F51059">
        <w:rPr>
          <w:sz w:val="24"/>
          <w:szCs w:val="24"/>
        </w:rPr>
        <w:t>города</w:t>
      </w:r>
      <w:r w:rsidR="00313021">
        <w:rPr>
          <w:sz w:val="24"/>
          <w:szCs w:val="24"/>
        </w:rPr>
        <w:t>, не относящихся к субъектам малого предпринимательства</w:t>
      </w:r>
      <w:r w:rsidRPr="00F51059">
        <w:rPr>
          <w:sz w:val="24"/>
          <w:szCs w:val="24"/>
        </w:rPr>
        <w:t xml:space="preserve"> (далее по разделу – заработная плата)</w:t>
      </w:r>
      <w:r w:rsidR="00313021">
        <w:rPr>
          <w:sz w:val="24"/>
          <w:szCs w:val="24"/>
        </w:rPr>
        <w:t>,</w:t>
      </w:r>
      <w:r w:rsidRPr="00F51059">
        <w:rPr>
          <w:sz w:val="24"/>
          <w:szCs w:val="24"/>
        </w:rPr>
        <w:t xml:space="preserve"> в прогнозном периоде будет расти. </w:t>
      </w:r>
    </w:p>
    <w:p w:rsidR="005A6EE9" w:rsidRDefault="005A6EE9" w:rsidP="005A6EE9">
      <w:pPr>
        <w:pStyle w:val="af"/>
        <w:numPr>
          <w:ilvl w:val="0"/>
          <w:numId w:val="2"/>
        </w:numPr>
        <w:spacing w:line="276" w:lineRule="auto"/>
        <w:ind w:left="0" w:firstLine="709"/>
        <w:jc w:val="both"/>
        <w:rPr>
          <w:sz w:val="24"/>
          <w:szCs w:val="24"/>
        </w:rPr>
      </w:pPr>
      <w:r w:rsidRPr="00157FB5">
        <w:rPr>
          <w:sz w:val="24"/>
          <w:szCs w:val="24"/>
        </w:rPr>
        <w:t>В целом за прогнозный период 2020 – 2022 годов с учетом реализации мер, проводимых в целях решения поставленных Указом Президента Российской Федерации от 07.05.2018 № 204 задач, направленных на обеспечение роста производительности труда в экономике, а также с учетом планируемых темпов повышения заработной платы отдельным категориям работников бюджетной сферы в соответствии с реализацией планов мероприятий («дорожных карт») по совершенствованию оплаты труда в сфере культуры, образования и физической культуры, заработная плата может увеличиться соответственно по вариантам на 19,</w:t>
      </w:r>
      <w:r>
        <w:rPr>
          <w:sz w:val="24"/>
          <w:szCs w:val="24"/>
        </w:rPr>
        <w:t>6</w:t>
      </w:r>
      <w:r w:rsidRPr="00157FB5">
        <w:rPr>
          <w:sz w:val="24"/>
          <w:szCs w:val="24"/>
        </w:rPr>
        <w:t>-21,</w:t>
      </w:r>
      <w:r>
        <w:rPr>
          <w:sz w:val="24"/>
          <w:szCs w:val="24"/>
        </w:rPr>
        <w:t>2</w:t>
      </w:r>
      <w:r w:rsidRPr="00157FB5">
        <w:rPr>
          <w:sz w:val="24"/>
          <w:szCs w:val="24"/>
        </w:rPr>
        <w:t>%%, достигнув 4</w:t>
      </w:r>
      <w:r>
        <w:rPr>
          <w:sz w:val="24"/>
          <w:szCs w:val="24"/>
        </w:rPr>
        <w:t>7,9</w:t>
      </w:r>
      <w:r w:rsidRPr="00157FB5">
        <w:rPr>
          <w:sz w:val="24"/>
          <w:szCs w:val="24"/>
        </w:rPr>
        <w:t xml:space="preserve">-48,6 тыс. рублей (в реальном выражении – на </w:t>
      </w:r>
      <w:r w:rsidR="00313021">
        <w:rPr>
          <w:sz w:val="24"/>
          <w:szCs w:val="24"/>
        </w:rPr>
        <w:t>10</w:t>
      </w:r>
      <w:r w:rsidRPr="00157FB5">
        <w:rPr>
          <w:sz w:val="24"/>
          <w:szCs w:val="24"/>
        </w:rPr>
        <w:t>6,</w:t>
      </w:r>
      <w:r>
        <w:rPr>
          <w:sz w:val="24"/>
          <w:szCs w:val="24"/>
        </w:rPr>
        <w:t>2</w:t>
      </w:r>
      <w:r w:rsidRPr="00157FB5">
        <w:rPr>
          <w:sz w:val="24"/>
          <w:szCs w:val="24"/>
        </w:rPr>
        <w:t xml:space="preserve">%, </w:t>
      </w:r>
      <w:r w:rsidR="00313021">
        <w:rPr>
          <w:sz w:val="24"/>
          <w:szCs w:val="24"/>
        </w:rPr>
        <w:t>10</w:t>
      </w:r>
      <w:r w:rsidRPr="00157FB5">
        <w:rPr>
          <w:sz w:val="24"/>
          <w:szCs w:val="24"/>
        </w:rPr>
        <w:t>8,</w:t>
      </w:r>
      <w:r>
        <w:rPr>
          <w:sz w:val="24"/>
          <w:szCs w:val="24"/>
        </w:rPr>
        <w:t>1</w:t>
      </w:r>
      <w:r w:rsidRPr="00157FB5">
        <w:rPr>
          <w:sz w:val="24"/>
          <w:szCs w:val="24"/>
        </w:rPr>
        <w:t>%).</w:t>
      </w:r>
    </w:p>
    <w:p w:rsidR="005A6EE9" w:rsidRDefault="005A6EE9" w:rsidP="005A6EE9">
      <w:pPr>
        <w:pStyle w:val="aa"/>
        <w:numPr>
          <w:ilvl w:val="0"/>
          <w:numId w:val="2"/>
        </w:numPr>
        <w:spacing w:before="0" w:after="0" w:line="276" w:lineRule="auto"/>
        <w:ind w:left="0" w:firstLine="709"/>
        <w:jc w:val="both"/>
      </w:pPr>
      <w:r w:rsidRPr="00444698">
        <w:t>Прогноз</w:t>
      </w:r>
      <w:r>
        <w:t>ные темпы роста</w:t>
      </w:r>
      <w:r w:rsidRPr="00444698">
        <w:t xml:space="preserve"> заработной платы </w:t>
      </w:r>
      <w:r>
        <w:t xml:space="preserve">в условиях отсутствия прогноза данного показателя от большинства предприятий и организаций города были приняты на уровне параметров Сценарных условий Самарской области. </w:t>
      </w:r>
    </w:p>
    <w:p w:rsidR="005A6EE9" w:rsidRPr="00157FB5" w:rsidRDefault="005A6EE9" w:rsidP="005A6EE9">
      <w:pPr>
        <w:numPr>
          <w:ilvl w:val="0"/>
          <w:numId w:val="2"/>
        </w:numPr>
        <w:spacing w:after="0"/>
        <w:ind w:left="0" w:firstLine="709"/>
        <w:jc w:val="both"/>
        <w:rPr>
          <w:rFonts w:ascii="Times New Roman" w:hAnsi="Times New Roman"/>
          <w:sz w:val="24"/>
          <w:szCs w:val="24"/>
        </w:rPr>
      </w:pPr>
      <w:r w:rsidRPr="00157FB5">
        <w:rPr>
          <w:rFonts w:ascii="Times New Roman" w:hAnsi="Times New Roman"/>
          <w:sz w:val="24"/>
          <w:szCs w:val="24"/>
        </w:rPr>
        <w:t xml:space="preserve">Обеспечение социально уязвимых групп населения и социальные обязательства перед населением городского округа </w:t>
      </w:r>
      <w:r w:rsidR="005615F0">
        <w:rPr>
          <w:rFonts w:ascii="Times New Roman" w:hAnsi="Times New Roman"/>
          <w:sz w:val="24"/>
          <w:szCs w:val="24"/>
        </w:rPr>
        <w:t xml:space="preserve">Тольятти </w:t>
      </w:r>
      <w:r w:rsidRPr="00157FB5">
        <w:rPr>
          <w:rFonts w:ascii="Times New Roman" w:hAnsi="Times New Roman"/>
          <w:sz w:val="24"/>
          <w:szCs w:val="24"/>
        </w:rPr>
        <w:t>будут выполняться в приоритетном порядке в соответствии с действующим законодательством.</w:t>
      </w:r>
    </w:p>
    <w:p w:rsidR="0024525F" w:rsidRPr="0096463D" w:rsidRDefault="0024525F" w:rsidP="004272BD">
      <w:pPr>
        <w:spacing w:after="0"/>
        <w:ind w:firstLine="709"/>
        <w:jc w:val="both"/>
        <w:rPr>
          <w:rFonts w:ascii="Times New Roman" w:hAnsi="Times New Roman"/>
          <w:b/>
          <w:sz w:val="24"/>
          <w:szCs w:val="24"/>
          <w:highlight w:val="yellow"/>
        </w:rPr>
      </w:pPr>
    </w:p>
    <w:p w:rsidR="00252845" w:rsidRPr="008D5FB0" w:rsidRDefault="00252845" w:rsidP="004272BD">
      <w:pPr>
        <w:spacing w:after="0"/>
        <w:jc w:val="center"/>
        <w:rPr>
          <w:rFonts w:ascii="Times New Roman" w:hAnsi="Times New Roman"/>
          <w:b/>
          <w:sz w:val="24"/>
          <w:szCs w:val="24"/>
        </w:rPr>
      </w:pPr>
      <w:r w:rsidRPr="008D5FB0">
        <w:rPr>
          <w:rFonts w:ascii="Times New Roman" w:hAnsi="Times New Roman"/>
          <w:b/>
          <w:sz w:val="24"/>
          <w:szCs w:val="24"/>
        </w:rPr>
        <w:t>Транспорт</w:t>
      </w:r>
      <w:bookmarkStart w:id="7" w:name="транспорт"/>
      <w:bookmarkEnd w:id="7"/>
    </w:p>
    <w:p w:rsidR="002C4510" w:rsidRPr="0096463D" w:rsidRDefault="002C4510" w:rsidP="004272BD">
      <w:pPr>
        <w:spacing w:after="0"/>
        <w:ind w:firstLine="709"/>
        <w:jc w:val="both"/>
        <w:rPr>
          <w:rFonts w:ascii="Times New Roman" w:hAnsi="Times New Roman"/>
          <w:b/>
          <w:sz w:val="24"/>
          <w:szCs w:val="24"/>
          <w:highlight w:val="yellow"/>
        </w:rPr>
      </w:pPr>
    </w:p>
    <w:p w:rsidR="008D5FB0" w:rsidRDefault="008D5FB0" w:rsidP="008D5FB0">
      <w:pPr>
        <w:pStyle w:val="aa"/>
        <w:widowControl w:val="0"/>
        <w:spacing w:before="0" w:after="0" w:line="276" w:lineRule="auto"/>
        <w:ind w:firstLine="720"/>
        <w:jc w:val="both"/>
        <w:rPr>
          <w:lang w:eastAsia="ru-RU"/>
        </w:rPr>
      </w:pPr>
      <w:r w:rsidRPr="00B07F35">
        <w:rPr>
          <w:lang w:eastAsia="ru-RU"/>
        </w:rPr>
        <w:t>Создание условий для предоставления транспортных услуг населению и организаци</w:t>
      </w:r>
      <w:r w:rsidR="00A057B5">
        <w:rPr>
          <w:lang w:eastAsia="ru-RU"/>
        </w:rPr>
        <w:t>ям</w:t>
      </w:r>
      <w:r w:rsidRPr="00B07F35">
        <w:rPr>
          <w:lang w:eastAsia="ru-RU"/>
        </w:rPr>
        <w:t xml:space="preserve"> транспортного обслуживания населения в границах городского округа </w:t>
      </w:r>
      <w:r w:rsidR="00FF21C4">
        <w:rPr>
          <w:lang w:eastAsia="ru-RU"/>
        </w:rPr>
        <w:t xml:space="preserve">Тольятти </w:t>
      </w:r>
      <w:r w:rsidRPr="00B07F35">
        <w:rPr>
          <w:lang w:eastAsia="ru-RU"/>
        </w:rPr>
        <w:t xml:space="preserve">является одним из важных вопросов местного значения. </w:t>
      </w:r>
    </w:p>
    <w:p w:rsidR="008D5FB0" w:rsidRDefault="008D5FB0" w:rsidP="008D5FB0">
      <w:pPr>
        <w:spacing w:after="0"/>
        <w:ind w:firstLine="709"/>
        <w:jc w:val="both"/>
        <w:rPr>
          <w:rFonts w:ascii="Times New Roman" w:hAnsi="Times New Roman"/>
          <w:sz w:val="24"/>
          <w:szCs w:val="24"/>
        </w:rPr>
      </w:pPr>
      <w:r>
        <w:rPr>
          <w:rFonts w:ascii="Times New Roman" w:hAnsi="Times New Roman"/>
          <w:sz w:val="24"/>
          <w:szCs w:val="24"/>
        </w:rPr>
        <w:t xml:space="preserve">На протяжении всего прогнозного периода по консервативному варианту прогноза показатель пассажирооборота останется на уровне 2019 года и составит 1149,0 млн. пассажиро-километров. </w:t>
      </w:r>
    </w:p>
    <w:p w:rsidR="008D5FB0" w:rsidRDefault="008D5FB0" w:rsidP="008D5FB0">
      <w:pPr>
        <w:spacing w:after="0"/>
        <w:ind w:firstLine="709"/>
        <w:jc w:val="both"/>
        <w:rPr>
          <w:rFonts w:ascii="Times New Roman" w:hAnsi="Times New Roman"/>
          <w:sz w:val="24"/>
          <w:szCs w:val="24"/>
        </w:rPr>
      </w:pPr>
      <w:r>
        <w:rPr>
          <w:rFonts w:ascii="Times New Roman" w:hAnsi="Times New Roman"/>
          <w:sz w:val="24"/>
          <w:szCs w:val="24"/>
        </w:rPr>
        <w:t>По базовому варианту прогноза незначительное у</w:t>
      </w:r>
      <w:r w:rsidRPr="00E92674">
        <w:rPr>
          <w:rFonts w:ascii="Times New Roman" w:hAnsi="Times New Roman"/>
          <w:sz w:val="24"/>
          <w:szCs w:val="24"/>
        </w:rPr>
        <w:t>лучшение показателя может произойти за счет обновления подвижного состава</w:t>
      </w:r>
      <w:r>
        <w:rPr>
          <w:rFonts w:ascii="Times New Roman" w:hAnsi="Times New Roman"/>
          <w:sz w:val="24"/>
          <w:szCs w:val="24"/>
        </w:rPr>
        <w:t xml:space="preserve"> </w:t>
      </w:r>
      <w:r w:rsidRPr="00E92674">
        <w:rPr>
          <w:rFonts w:ascii="Times New Roman" w:hAnsi="Times New Roman"/>
          <w:sz w:val="24"/>
          <w:szCs w:val="24"/>
        </w:rPr>
        <w:t>на более комфортабельные и вмест</w:t>
      </w:r>
      <w:r>
        <w:rPr>
          <w:rFonts w:ascii="Times New Roman" w:hAnsi="Times New Roman"/>
          <w:sz w:val="24"/>
          <w:szCs w:val="24"/>
        </w:rPr>
        <w:t>ительные автобусы и троллейбусы</w:t>
      </w:r>
      <w:r w:rsidRPr="00E92674">
        <w:rPr>
          <w:rFonts w:ascii="Times New Roman" w:hAnsi="Times New Roman"/>
          <w:sz w:val="24"/>
          <w:szCs w:val="24"/>
        </w:rPr>
        <w:t>, усиления контрольно-ревизионной службы, увеличения реальных доходов и деловой активности населения</w:t>
      </w:r>
      <w:r w:rsidRPr="00EF46DE">
        <w:rPr>
          <w:rFonts w:ascii="Times New Roman" w:hAnsi="Times New Roman"/>
          <w:sz w:val="24"/>
          <w:szCs w:val="24"/>
        </w:rPr>
        <w:t>: в 2022 году ожидается увеличение пассажирооборота к уровню 2019 года на 0,3%</w:t>
      </w:r>
      <w:r>
        <w:rPr>
          <w:rFonts w:ascii="Times New Roman" w:hAnsi="Times New Roman"/>
          <w:sz w:val="24"/>
          <w:szCs w:val="24"/>
        </w:rPr>
        <w:t xml:space="preserve"> до 1152,4 млн. пассажиро-километров.</w:t>
      </w:r>
    </w:p>
    <w:p w:rsidR="008D5FB0" w:rsidRPr="008D5FB0" w:rsidRDefault="008D5FB0" w:rsidP="008D5FB0">
      <w:pPr>
        <w:pStyle w:val="af"/>
        <w:spacing w:line="276" w:lineRule="auto"/>
        <w:ind w:left="0" w:firstLine="708"/>
        <w:rPr>
          <w:sz w:val="24"/>
          <w:szCs w:val="24"/>
        </w:rPr>
      </w:pPr>
      <w:r>
        <w:rPr>
          <w:sz w:val="24"/>
          <w:szCs w:val="24"/>
        </w:rPr>
        <w:lastRenderedPageBreak/>
        <w:t>По всем вариантам прогноза показатель рассчитан исходя из планового количества пассажиров в прогнозном периоде и средней дальности поездки одного пассажира.</w:t>
      </w:r>
    </w:p>
    <w:p w:rsidR="008D5FB0" w:rsidRPr="004726DC" w:rsidRDefault="008D5FB0" w:rsidP="008D5FB0">
      <w:pPr>
        <w:pStyle w:val="aa"/>
        <w:widowControl w:val="0"/>
        <w:spacing w:before="0" w:after="0" w:line="276" w:lineRule="auto"/>
        <w:ind w:firstLine="720"/>
        <w:jc w:val="both"/>
        <w:rPr>
          <w:lang w:eastAsia="ru-RU"/>
        </w:rPr>
      </w:pPr>
      <w:r w:rsidRPr="004726DC">
        <w:rPr>
          <w:lang w:eastAsia="ru-RU"/>
        </w:rPr>
        <w:t>В прогнозном периоде будут прорабатываться вопросы повышения качества и доступности транспортных услуг, увеличения доли обеспеченности нового подвижного состава парка муниципальных транспортных предприятий, в связи с чем увеличится привлекательность пассажирского транспорта и создадутся более комфортные условия передвижения на общественном транспорте жителей и гостей города.</w:t>
      </w:r>
    </w:p>
    <w:p w:rsidR="00FF21C4" w:rsidRDefault="008D5FB0" w:rsidP="008D5FB0">
      <w:pPr>
        <w:pStyle w:val="aa"/>
        <w:widowControl w:val="0"/>
        <w:spacing w:before="0" w:after="0" w:line="276" w:lineRule="auto"/>
        <w:ind w:firstLine="720"/>
        <w:jc w:val="both"/>
        <w:rPr>
          <w:lang w:eastAsia="ru-RU"/>
        </w:rPr>
      </w:pPr>
      <w:r>
        <w:rPr>
          <w:lang w:eastAsia="ru-RU"/>
        </w:rPr>
        <w:t>К</w:t>
      </w:r>
      <w:r w:rsidRPr="004726DC">
        <w:rPr>
          <w:lang w:eastAsia="ru-RU"/>
        </w:rPr>
        <w:t xml:space="preserve"> концу 202</w:t>
      </w:r>
      <w:r>
        <w:rPr>
          <w:lang w:eastAsia="ru-RU"/>
        </w:rPr>
        <w:t>2</w:t>
      </w:r>
      <w:r w:rsidRPr="004726DC">
        <w:rPr>
          <w:lang w:eastAsia="ru-RU"/>
        </w:rPr>
        <w:t xml:space="preserve"> года по сравнению с 201</w:t>
      </w:r>
      <w:r>
        <w:rPr>
          <w:lang w:eastAsia="ru-RU"/>
        </w:rPr>
        <w:t>9</w:t>
      </w:r>
      <w:r w:rsidRPr="004726DC">
        <w:rPr>
          <w:lang w:eastAsia="ru-RU"/>
        </w:rPr>
        <w:t xml:space="preserve"> годом</w:t>
      </w:r>
      <w:r>
        <w:rPr>
          <w:lang w:eastAsia="ru-RU"/>
        </w:rPr>
        <w:t xml:space="preserve"> п</w:t>
      </w:r>
      <w:r w:rsidRPr="004726DC">
        <w:rPr>
          <w:lang w:eastAsia="ru-RU"/>
        </w:rPr>
        <w:t xml:space="preserve">о </w:t>
      </w:r>
      <w:r>
        <w:rPr>
          <w:lang w:eastAsia="ru-RU"/>
        </w:rPr>
        <w:t>первому и второму</w:t>
      </w:r>
      <w:r w:rsidRPr="004726DC">
        <w:rPr>
          <w:lang w:eastAsia="ru-RU"/>
        </w:rPr>
        <w:t xml:space="preserve"> вариантам прогноза ожидается рост грузооборота: по первому варианту - </w:t>
      </w:r>
      <w:r>
        <w:rPr>
          <w:lang w:eastAsia="ru-RU"/>
        </w:rPr>
        <w:t>1</w:t>
      </w:r>
      <w:r w:rsidRPr="004726DC">
        <w:rPr>
          <w:lang w:eastAsia="ru-RU"/>
        </w:rPr>
        <w:t>,</w:t>
      </w:r>
      <w:r>
        <w:rPr>
          <w:lang w:eastAsia="ru-RU"/>
        </w:rPr>
        <w:t>9% и 21</w:t>
      </w:r>
      <w:r w:rsidRPr="004726DC">
        <w:rPr>
          <w:lang w:eastAsia="ru-RU"/>
        </w:rPr>
        <w:t>,</w:t>
      </w:r>
      <w:r>
        <w:rPr>
          <w:lang w:eastAsia="ru-RU"/>
        </w:rPr>
        <w:t>8</w:t>
      </w:r>
      <w:r w:rsidRPr="004726DC">
        <w:rPr>
          <w:lang w:eastAsia="ru-RU"/>
        </w:rPr>
        <w:t>% по второму вариант</w:t>
      </w:r>
      <w:r>
        <w:rPr>
          <w:lang w:eastAsia="ru-RU"/>
        </w:rPr>
        <w:t>у</w:t>
      </w:r>
      <w:r w:rsidRPr="004726DC">
        <w:rPr>
          <w:lang w:eastAsia="ru-RU"/>
        </w:rPr>
        <w:t xml:space="preserve">. </w:t>
      </w:r>
    </w:p>
    <w:p w:rsidR="008D5FB0" w:rsidRDefault="008D5FB0" w:rsidP="008D5FB0">
      <w:pPr>
        <w:pStyle w:val="aa"/>
        <w:widowControl w:val="0"/>
        <w:spacing w:before="0" w:after="0" w:line="276" w:lineRule="auto"/>
        <w:ind w:firstLine="720"/>
        <w:jc w:val="both"/>
        <w:rPr>
          <w:lang w:eastAsia="ru-RU"/>
        </w:rPr>
      </w:pPr>
      <w:r w:rsidRPr="004726DC">
        <w:rPr>
          <w:lang w:eastAsia="ru-RU"/>
        </w:rPr>
        <w:t xml:space="preserve">Увеличению показателя будет способствовать расширение клиентской базы и в целом рост профессиональных услуг грузоперевозок. Ожидается рост конкурентоспособной среды на рынке автомобильных грузоперевозок, что приведет к повышению качества услуг и увеличению грузооборота. </w:t>
      </w:r>
    </w:p>
    <w:p w:rsidR="000D695D" w:rsidRDefault="004C74AE" w:rsidP="004C74AE">
      <w:pPr>
        <w:pStyle w:val="aa"/>
        <w:widowControl w:val="0"/>
        <w:spacing w:before="0" w:after="0" w:line="276" w:lineRule="auto"/>
        <w:ind w:firstLine="720"/>
        <w:jc w:val="both"/>
        <w:rPr>
          <w:lang w:eastAsia="ru-RU"/>
        </w:rPr>
      </w:pPr>
      <w:r>
        <w:rPr>
          <w:lang w:eastAsia="ru-RU"/>
        </w:rPr>
        <w:t>В сфере дорожного хозяйства в</w:t>
      </w:r>
      <w:r w:rsidR="000D695D">
        <w:rPr>
          <w:lang w:eastAsia="ru-RU"/>
        </w:rPr>
        <w:t xml:space="preserve"> рамках мероприятий по приоритетному проекту «Безопасные и качественные дороги в 2020-2022 годах предусмотрены мероприятия по повышению безопасности дорожного движения на автомобильных дорогах общего пользования местного значения в рамках реализации региональной составляющей НП «БКАД».</w:t>
      </w:r>
    </w:p>
    <w:p w:rsidR="000D695D" w:rsidRDefault="000D695D" w:rsidP="004C74AE">
      <w:pPr>
        <w:pStyle w:val="aa"/>
        <w:widowControl w:val="0"/>
        <w:spacing w:before="0" w:after="0" w:line="276" w:lineRule="auto"/>
        <w:ind w:firstLine="720"/>
        <w:jc w:val="both"/>
        <w:rPr>
          <w:lang w:eastAsia="ru-RU"/>
        </w:rPr>
      </w:pPr>
      <w:r>
        <w:rPr>
          <w:lang w:eastAsia="ru-RU"/>
        </w:rPr>
        <w:t>В 2020</w:t>
      </w:r>
      <w:r w:rsidR="004C74AE">
        <w:rPr>
          <w:lang w:eastAsia="ru-RU"/>
        </w:rPr>
        <w:t>-2022</w:t>
      </w:r>
      <w:r>
        <w:rPr>
          <w:lang w:eastAsia="ru-RU"/>
        </w:rPr>
        <w:t xml:space="preserve"> год</w:t>
      </w:r>
      <w:r w:rsidR="004C74AE">
        <w:rPr>
          <w:lang w:eastAsia="ru-RU"/>
        </w:rPr>
        <w:t>ах</w:t>
      </w:r>
      <w:r>
        <w:rPr>
          <w:lang w:eastAsia="ru-RU"/>
        </w:rPr>
        <w:t xml:space="preserve"> запланировано строительство магистральной улицы общегородского значения регулируемого движения ул. Офицерской от ул. Полякова до Южного шоссе в Автозаводском районе; строительство ул. Механизаторов (от ул. Громовой до ул. Лизы </w:t>
      </w:r>
      <w:r>
        <w:rPr>
          <w:lang w:eastAsia="ru-RU"/>
        </w:rPr>
        <w:tab/>
        <w:t xml:space="preserve">Чайкиной); </w:t>
      </w:r>
      <w:r w:rsidR="004C74AE" w:rsidRPr="004C74AE">
        <w:rPr>
          <w:lang w:eastAsia="ru-RU"/>
        </w:rPr>
        <w:t>УДС за Московским проспектом (продолжение ул. Фрунзе с устройством ливневой канализации по ул. Патриотической (от Московского проспекта до ул. 50 лет ВАЗа)</w:t>
      </w:r>
      <w:r w:rsidR="004C74AE">
        <w:rPr>
          <w:lang w:eastAsia="ru-RU"/>
        </w:rPr>
        <w:t xml:space="preserve">; </w:t>
      </w:r>
      <w:r w:rsidR="004C74AE" w:rsidRPr="004C74AE">
        <w:rPr>
          <w:lang w:eastAsia="ru-RU"/>
        </w:rPr>
        <w:t>реконструкция (устройство) парковочных площадок вдоль ВАЗа от ул. Цеховой до ул. Заставной)</w:t>
      </w:r>
      <w:r w:rsidR="004C74AE">
        <w:rPr>
          <w:lang w:eastAsia="ru-RU"/>
        </w:rPr>
        <w:t>;</w:t>
      </w:r>
      <w:r w:rsidR="004C74AE" w:rsidRPr="004C74AE">
        <w:rPr>
          <w:lang w:eastAsia="ru-RU"/>
        </w:rPr>
        <w:t xml:space="preserve"> </w:t>
      </w:r>
      <w:r>
        <w:rPr>
          <w:lang w:eastAsia="ru-RU"/>
        </w:rPr>
        <w:t>устройство линий наружного электроосвещения</w:t>
      </w:r>
      <w:r w:rsidR="007451F5">
        <w:rPr>
          <w:lang w:eastAsia="ru-RU"/>
        </w:rPr>
        <w:t>,</w:t>
      </w:r>
      <w:r>
        <w:rPr>
          <w:lang w:eastAsia="ru-RU"/>
        </w:rPr>
        <w:t xml:space="preserve"> дорожных знаков</w:t>
      </w:r>
      <w:r w:rsidR="007451F5">
        <w:rPr>
          <w:lang w:eastAsia="ru-RU"/>
        </w:rPr>
        <w:t>,</w:t>
      </w:r>
      <w:r>
        <w:rPr>
          <w:lang w:eastAsia="ru-RU"/>
        </w:rPr>
        <w:t xml:space="preserve"> пешеходных ограждений </w:t>
      </w:r>
      <w:r w:rsidR="007451F5">
        <w:rPr>
          <w:lang w:eastAsia="ru-RU"/>
        </w:rPr>
        <w:t>и другое</w:t>
      </w:r>
      <w:r>
        <w:rPr>
          <w:lang w:eastAsia="ru-RU"/>
        </w:rPr>
        <w:t>.</w:t>
      </w:r>
    </w:p>
    <w:p w:rsidR="0076667D" w:rsidRDefault="0076667D" w:rsidP="004272BD">
      <w:pPr>
        <w:spacing w:after="0"/>
        <w:jc w:val="center"/>
        <w:rPr>
          <w:rFonts w:ascii="Times New Roman" w:hAnsi="Times New Roman"/>
          <w:b/>
          <w:sz w:val="24"/>
          <w:szCs w:val="24"/>
        </w:rPr>
      </w:pPr>
    </w:p>
    <w:p w:rsidR="00252845" w:rsidRDefault="00252845" w:rsidP="004272BD">
      <w:pPr>
        <w:spacing w:after="0"/>
        <w:jc w:val="center"/>
        <w:rPr>
          <w:rFonts w:ascii="Times New Roman" w:hAnsi="Times New Roman"/>
          <w:b/>
          <w:sz w:val="24"/>
          <w:szCs w:val="24"/>
        </w:rPr>
      </w:pPr>
      <w:r w:rsidRPr="00D562C9">
        <w:rPr>
          <w:rFonts w:ascii="Times New Roman" w:hAnsi="Times New Roman"/>
          <w:b/>
          <w:sz w:val="24"/>
          <w:szCs w:val="24"/>
        </w:rPr>
        <w:t>Связь</w:t>
      </w:r>
      <w:bookmarkStart w:id="8" w:name="связь"/>
      <w:bookmarkEnd w:id="8"/>
    </w:p>
    <w:p w:rsidR="00C51622" w:rsidRPr="00D562C9" w:rsidRDefault="00C51622" w:rsidP="004272BD">
      <w:pPr>
        <w:spacing w:after="0"/>
        <w:jc w:val="center"/>
        <w:rPr>
          <w:rFonts w:ascii="Times New Roman" w:hAnsi="Times New Roman"/>
          <w:b/>
          <w:sz w:val="24"/>
          <w:szCs w:val="24"/>
        </w:rPr>
      </w:pPr>
    </w:p>
    <w:p w:rsidR="00FB6465" w:rsidRPr="00D562C9" w:rsidRDefault="00FB6465" w:rsidP="00E11BE7">
      <w:pPr>
        <w:spacing w:after="0"/>
        <w:ind w:firstLine="709"/>
        <w:jc w:val="both"/>
        <w:rPr>
          <w:rFonts w:ascii="Times New Roman" w:hAnsi="Times New Roman"/>
          <w:sz w:val="24"/>
          <w:szCs w:val="24"/>
        </w:rPr>
      </w:pPr>
      <w:r w:rsidRPr="00D562C9">
        <w:rPr>
          <w:rFonts w:ascii="Times New Roman" w:hAnsi="Times New Roman"/>
          <w:sz w:val="24"/>
          <w:szCs w:val="24"/>
        </w:rPr>
        <w:t>В 20</w:t>
      </w:r>
      <w:r w:rsidR="00D562C9" w:rsidRPr="00D562C9">
        <w:rPr>
          <w:rFonts w:ascii="Times New Roman" w:hAnsi="Times New Roman"/>
          <w:sz w:val="24"/>
          <w:szCs w:val="24"/>
        </w:rPr>
        <w:t>20</w:t>
      </w:r>
      <w:r w:rsidRPr="00D562C9">
        <w:rPr>
          <w:rFonts w:ascii="Times New Roman" w:hAnsi="Times New Roman"/>
          <w:sz w:val="24"/>
          <w:szCs w:val="24"/>
        </w:rPr>
        <w:t>-202</w:t>
      </w:r>
      <w:r w:rsidR="00D562C9" w:rsidRPr="00D562C9">
        <w:rPr>
          <w:rFonts w:ascii="Times New Roman" w:hAnsi="Times New Roman"/>
          <w:sz w:val="24"/>
          <w:szCs w:val="24"/>
        </w:rPr>
        <w:t>2</w:t>
      </w:r>
      <w:r w:rsidRPr="00D562C9">
        <w:rPr>
          <w:rFonts w:ascii="Times New Roman" w:hAnsi="Times New Roman"/>
          <w:sz w:val="24"/>
          <w:szCs w:val="24"/>
        </w:rPr>
        <w:t xml:space="preserve"> годах ожидается дальнейшее развитие услуг в сфере связи. Телефонизация неразрывно связана с развитием первичной сети, заменой физически и морально устаревшего оборудования на значительных участках региональных сетей, а также внедрением новых технологий. </w:t>
      </w:r>
    </w:p>
    <w:p w:rsidR="00FB6465" w:rsidRPr="00D562C9" w:rsidRDefault="00FB6465" w:rsidP="00E11BE7">
      <w:pPr>
        <w:spacing w:after="0"/>
        <w:ind w:firstLine="709"/>
        <w:jc w:val="both"/>
        <w:rPr>
          <w:rFonts w:ascii="Times New Roman" w:hAnsi="Times New Roman"/>
          <w:sz w:val="24"/>
          <w:szCs w:val="24"/>
        </w:rPr>
      </w:pPr>
      <w:r w:rsidRPr="00D562C9">
        <w:rPr>
          <w:rFonts w:ascii="Times New Roman" w:hAnsi="Times New Roman"/>
          <w:sz w:val="24"/>
          <w:szCs w:val="24"/>
        </w:rPr>
        <w:t xml:space="preserve">Наряду с развитием традиционных видов связи планируется расширение сетей сотовой связи (в том числе развитие технологии LTE), Интернета, IP-телефонии, интеллектуальных сетей и других видов связи. </w:t>
      </w:r>
    </w:p>
    <w:p w:rsidR="00D562C9" w:rsidRDefault="00D562C9" w:rsidP="00D562C9">
      <w:pPr>
        <w:spacing w:after="0"/>
        <w:ind w:firstLine="709"/>
        <w:jc w:val="both"/>
        <w:rPr>
          <w:rFonts w:ascii="Times New Roman" w:hAnsi="Times New Roman"/>
          <w:sz w:val="24"/>
          <w:szCs w:val="24"/>
        </w:rPr>
      </w:pPr>
      <w:r>
        <w:rPr>
          <w:rFonts w:ascii="Times New Roman" w:hAnsi="Times New Roman"/>
          <w:sz w:val="24"/>
          <w:szCs w:val="24"/>
        </w:rPr>
        <w:t>С</w:t>
      </w:r>
      <w:r w:rsidR="00FB6465" w:rsidRPr="00D562C9">
        <w:rPr>
          <w:rFonts w:ascii="Times New Roman" w:hAnsi="Times New Roman"/>
          <w:sz w:val="24"/>
          <w:szCs w:val="24"/>
        </w:rPr>
        <w:t xml:space="preserve"> учетом </w:t>
      </w:r>
      <w:r w:rsidR="00DD205A">
        <w:rPr>
          <w:rFonts w:ascii="Times New Roman" w:hAnsi="Times New Roman"/>
          <w:sz w:val="24"/>
          <w:szCs w:val="24"/>
        </w:rPr>
        <w:t xml:space="preserve">умеренных темпов роста доходов </w:t>
      </w:r>
      <w:r w:rsidR="00A175F4">
        <w:rPr>
          <w:rFonts w:ascii="Times New Roman" w:hAnsi="Times New Roman"/>
          <w:sz w:val="24"/>
          <w:szCs w:val="24"/>
        </w:rPr>
        <w:t xml:space="preserve">населения </w:t>
      </w:r>
      <w:r>
        <w:rPr>
          <w:rFonts w:ascii="Times New Roman" w:hAnsi="Times New Roman"/>
          <w:sz w:val="24"/>
          <w:szCs w:val="24"/>
        </w:rPr>
        <w:t>к</w:t>
      </w:r>
      <w:r w:rsidRPr="00FE7DDA">
        <w:rPr>
          <w:rFonts w:ascii="Times New Roman" w:hAnsi="Times New Roman"/>
          <w:sz w:val="24"/>
          <w:szCs w:val="24"/>
        </w:rPr>
        <w:t xml:space="preserve">онсервативный вариант развития предусматривает </w:t>
      </w:r>
      <w:r>
        <w:rPr>
          <w:rFonts w:ascii="Times New Roman" w:hAnsi="Times New Roman"/>
          <w:sz w:val="24"/>
          <w:szCs w:val="24"/>
        </w:rPr>
        <w:t>рост объема услуг связи: к 2022 году увеличение показателя в действующих ценах составит 10,5% к 2019 году до 3 566,2 млн. рублей.</w:t>
      </w:r>
    </w:p>
    <w:p w:rsidR="008454B0" w:rsidRPr="00D562C9" w:rsidRDefault="008454B0" w:rsidP="00E11BE7">
      <w:pPr>
        <w:spacing w:after="0"/>
        <w:ind w:firstLine="709"/>
        <w:jc w:val="both"/>
        <w:rPr>
          <w:rFonts w:ascii="Times New Roman" w:hAnsi="Times New Roman"/>
          <w:sz w:val="24"/>
          <w:szCs w:val="24"/>
        </w:rPr>
      </w:pPr>
      <w:r w:rsidRPr="00D562C9">
        <w:rPr>
          <w:rFonts w:ascii="Times New Roman" w:hAnsi="Times New Roman"/>
          <w:sz w:val="24"/>
          <w:szCs w:val="24"/>
        </w:rPr>
        <w:t xml:space="preserve">Ожидается существенное ослабление интереса у населения к телефонной стационарной связи. Количество операторов стационарной связи пойдет на спад, они направят свои силы на развитие более востребованных услуг, таких как интернет, IP-TV. Количество абонентов домашнего интернета будет уменьшатся в связи с тем, что </w:t>
      </w:r>
      <w:r w:rsidRPr="00D562C9">
        <w:rPr>
          <w:rFonts w:ascii="Times New Roman" w:hAnsi="Times New Roman"/>
          <w:sz w:val="24"/>
          <w:szCs w:val="24"/>
        </w:rPr>
        <w:lastRenderedPageBreak/>
        <w:t xml:space="preserve">абоненты будут искать более дешевые варианты выхода в интернет, такие как мобильный интернет. </w:t>
      </w:r>
    </w:p>
    <w:p w:rsidR="00D562C9" w:rsidRDefault="0001396C" w:rsidP="00D562C9">
      <w:pPr>
        <w:spacing w:after="0"/>
        <w:ind w:firstLine="709"/>
        <w:jc w:val="both"/>
        <w:rPr>
          <w:rFonts w:ascii="Times New Roman" w:hAnsi="Times New Roman"/>
          <w:sz w:val="24"/>
          <w:szCs w:val="24"/>
        </w:rPr>
      </w:pPr>
      <w:r w:rsidRPr="00D562C9">
        <w:rPr>
          <w:rFonts w:ascii="Times New Roman" w:hAnsi="Times New Roman"/>
          <w:sz w:val="24"/>
          <w:szCs w:val="24"/>
        </w:rPr>
        <w:t>По б</w:t>
      </w:r>
      <w:r w:rsidR="00FB6465" w:rsidRPr="00D562C9">
        <w:rPr>
          <w:rFonts w:ascii="Times New Roman" w:hAnsi="Times New Roman"/>
          <w:sz w:val="24"/>
          <w:szCs w:val="24"/>
        </w:rPr>
        <w:t>азов</w:t>
      </w:r>
      <w:r w:rsidRPr="00D562C9">
        <w:rPr>
          <w:rFonts w:ascii="Times New Roman" w:hAnsi="Times New Roman"/>
          <w:sz w:val="24"/>
          <w:szCs w:val="24"/>
        </w:rPr>
        <w:t>ому</w:t>
      </w:r>
      <w:r w:rsidR="00FB6465" w:rsidRPr="00D562C9">
        <w:rPr>
          <w:rFonts w:ascii="Times New Roman" w:hAnsi="Times New Roman"/>
          <w:sz w:val="24"/>
          <w:szCs w:val="24"/>
        </w:rPr>
        <w:t xml:space="preserve"> вариант</w:t>
      </w:r>
      <w:r w:rsidR="00D562C9" w:rsidRPr="00D562C9">
        <w:rPr>
          <w:rFonts w:ascii="Times New Roman" w:hAnsi="Times New Roman"/>
          <w:sz w:val="24"/>
          <w:szCs w:val="24"/>
        </w:rPr>
        <w:t>у</w:t>
      </w:r>
      <w:r w:rsidR="00FB6465" w:rsidRPr="00D562C9">
        <w:rPr>
          <w:rFonts w:ascii="Times New Roman" w:hAnsi="Times New Roman"/>
          <w:sz w:val="24"/>
          <w:szCs w:val="24"/>
        </w:rPr>
        <w:t xml:space="preserve"> </w:t>
      </w:r>
      <w:r w:rsidRPr="00D562C9">
        <w:rPr>
          <w:rFonts w:ascii="Times New Roman" w:hAnsi="Times New Roman"/>
          <w:sz w:val="24"/>
          <w:szCs w:val="24"/>
        </w:rPr>
        <w:t xml:space="preserve">объем услуг связи в прогнозном периоде будет расти </w:t>
      </w:r>
      <w:r w:rsidR="00FB6465" w:rsidRPr="00D562C9">
        <w:rPr>
          <w:rFonts w:ascii="Times New Roman" w:hAnsi="Times New Roman"/>
          <w:sz w:val="24"/>
          <w:szCs w:val="24"/>
        </w:rPr>
        <w:t>более высокими темпами.</w:t>
      </w:r>
      <w:r w:rsidR="00D562C9">
        <w:rPr>
          <w:rFonts w:ascii="Times New Roman" w:hAnsi="Times New Roman"/>
          <w:sz w:val="24"/>
          <w:szCs w:val="24"/>
        </w:rPr>
        <w:t xml:space="preserve"> </w:t>
      </w:r>
      <w:r w:rsidR="00FB6465" w:rsidRPr="00D562C9">
        <w:rPr>
          <w:rFonts w:ascii="Times New Roman" w:hAnsi="Times New Roman"/>
          <w:sz w:val="24"/>
          <w:szCs w:val="24"/>
        </w:rPr>
        <w:t xml:space="preserve">Так, </w:t>
      </w:r>
      <w:r w:rsidR="00EB7739" w:rsidRPr="00D562C9">
        <w:rPr>
          <w:rFonts w:ascii="Times New Roman" w:hAnsi="Times New Roman"/>
          <w:sz w:val="24"/>
          <w:szCs w:val="24"/>
        </w:rPr>
        <w:t>за</w:t>
      </w:r>
      <w:r w:rsidR="00FB6465" w:rsidRPr="00D562C9">
        <w:rPr>
          <w:rFonts w:ascii="Times New Roman" w:hAnsi="Times New Roman"/>
          <w:sz w:val="24"/>
          <w:szCs w:val="24"/>
        </w:rPr>
        <w:t xml:space="preserve"> период </w:t>
      </w:r>
      <w:r w:rsidR="00D562C9" w:rsidRPr="00B40177">
        <w:rPr>
          <w:rFonts w:ascii="Times New Roman" w:hAnsi="Times New Roman"/>
          <w:sz w:val="24"/>
          <w:szCs w:val="24"/>
        </w:rPr>
        <w:t>201</w:t>
      </w:r>
      <w:r w:rsidR="00D562C9">
        <w:rPr>
          <w:rFonts w:ascii="Times New Roman" w:hAnsi="Times New Roman"/>
          <w:sz w:val="24"/>
          <w:szCs w:val="24"/>
        </w:rPr>
        <w:t>9</w:t>
      </w:r>
      <w:r w:rsidR="00D562C9" w:rsidRPr="00B40177">
        <w:rPr>
          <w:rFonts w:ascii="Times New Roman" w:hAnsi="Times New Roman"/>
          <w:sz w:val="24"/>
          <w:szCs w:val="24"/>
        </w:rPr>
        <w:t xml:space="preserve"> – 202</w:t>
      </w:r>
      <w:r w:rsidR="00D562C9">
        <w:rPr>
          <w:rFonts w:ascii="Times New Roman" w:hAnsi="Times New Roman"/>
          <w:sz w:val="24"/>
          <w:szCs w:val="24"/>
        </w:rPr>
        <w:t>2</w:t>
      </w:r>
      <w:r w:rsidR="00D562C9" w:rsidRPr="00B40177">
        <w:rPr>
          <w:rFonts w:ascii="Times New Roman" w:hAnsi="Times New Roman"/>
          <w:sz w:val="24"/>
          <w:szCs w:val="24"/>
        </w:rPr>
        <w:t xml:space="preserve"> годов рост показателя в </w:t>
      </w:r>
      <w:r w:rsidR="00D562C9">
        <w:rPr>
          <w:rFonts w:ascii="Times New Roman" w:hAnsi="Times New Roman"/>
          <w:sz w:val="24"/>
          <w:szCs w:val="24"/>
        </w:rPr>
        <w:t>действующих</w:t>
      </w:r>
      <w:r w:rsidR="00D562C9" w:rsidRPr="00B40177">
        <w:rPr>
          <w:rFonts w:ascii="Times New Roman" w:hAnsi="Times New Roman"/>
          <w:sz w:val="24"/>
          <w:szCs w:val="24"/>
        </w:rPr>
        <w:t xml:space="preserve"> ценах может составить </w:t>
      </w:r>
      <w:r w:rsidR="00D562C9">
        <w:rPr>
          <w:rFonts w:ascii="Times New Roman" w:hAnsi="Times New Roman"/>
          <w:sz w:val="24"/>
          <w:szCs w:val="24"/>
        </w:rPr>
        <w:t>29</w:t>
      </w:r>
      <w:r w:rsidR="00D562C9" w:rsidRPr="00B40177">
        <w:rPr>
          <w:rFonts w:ascii="Times New Roman" w:hAnsi="Times New Roman"/>
          <w:sz w:val="24"/>
          <w:szCs w:val="24"/>
        </w:rPr>
        <w:t>,</w:t>
      </w:r>
      <w:r w:rsidR="00D562C9">
        <w:rPr>
          <w:rFonts w:ascii="Times New Roman" w:hAnsi="Times New Roman"/>
          <w:sz w:val="24"/>
          <w:szCs w:val="24"/>
        </w:rPr>
        <w:t>1</w:t>
      </w:r>
      <w:r w:rsidR="00D562C9" w:rsidRPr="00B40177">
        <w:rPr>
          <w:rFonts w:ascii="Times New Roman" w:hAnsi="Times New Roman"/>
          <w:sz w:val="24"/>
          <w:szCs w:val="24"/>
        </w:rPr>
        <w:t>%</w:t>
      </w:r>
      <w:r w:rsidR="00D562C9">
        <w:rPr>
          <w:rFonts w:ascii="Times New Roman" w:hAnsi="Times New Roman"/>
          <w:sz w:val="24"/>
          <w:szCs w:val="24"/>
        </w:rPr>
        <w:t xml:space="preserve"> до 4 206,1 млн. рублей.</w:t>
      </w:r>
    </w:p>
    <w:p w:rsidR="005A3768" w:rsidRPr="00D562C9" w:rsidRDefault="005A3768" w:rsidP="00E11BE7">
      <w:pPr>
        <w:spacing w:after="0"/>
        <w:ind w:firstLine="709"/>
        <w:jc w:val="both"/>
        <w:rPr>
          <w:rFonts w:ascii="Times New Roman" w:hAnsi="Times New Roman"/>
          <w:sz w:val="24"/>
          <w:szCs w:val="24"/>
        </w:rPr>
      </w:pPr>
      <w:r w:rsidRPr="00D562C9">
        <w:rPr>
          <w:rFonts w:ascii="Times New Roman" w:hAnsi="Times New Roman"/>
          <w:sz w:val="24"/>
          <w:szCs w:val="24"/>
        </w:rPr>
        <w:t>Ожидается стабильное и планомерное развитие рынка мобильной связи на территории городского округа Тольятти: продолжится внедрение протокола беспроводного доступа в сеть Интернет по различным технологиям операторами сотовой связи и провайдерами Интернет (услуги широкополосного высокоскоростного доступа в Интернет как по технологии 3G, 4G модем, так и по технологии «оптика до здания» - FTTB).</w:t>
      </w:r>
    </w:p>
    <w:p w:rsidR="005A3768" w:rsidRPr="00D562C9" w:rsidRDefault="005A3768" w:rsidP="00E11BE7">
      <w:pPr>
        <w:spacing w:after="0"/>
        <w:ind w:firstLine="709"/>
        <w:jc w:val="both"/>
        <w:rPr>
          <w:rFonts w:ascii="Times New Roman" w:hAnsi="Times New Roman"/>
          <w:sz w:val="24"/>
          <w:szCs w:val="24"/>
        </w:rPr>
      </w:pPr>
      <w:r w:rsidRPr="00D562C9">
        <w:rPr>
          <w:rFonts w:ascii="Times New Roman" w:hAnsi="Times New Roman"/>
          <w:sz w:val="24"/>
          <w:szCs w:val="24"/>
        </w:rPr>
        <w:t xml:space="preserve">Количество операторов </w:t>
      </w:r>
      <w:r w:rsidR="00546D5E" w:rsidRPr="00D562C9">
        <w:rPr>
          <w:rFonts w:ascii="Times New Roman" w:hAnsi="Times New Roman"/>
          <w:sz w:val="24"/>
          <w:szCs w:val="24"/>
        </w:rPr>
        <w:t>связи</w:t>
      </w:r>
      <w:r w:rsidRPr="00D562C9">
        <w:rPr>
          <w:rFonts w:ascii="Times New Roman" w:hAnsi="Times New Roman"/>
          <w:sz w:val="24"/>
          <w:szCs w:val="24"/>
        </w:rPr>
        <w:t>, в основном, останется на прежнем уровне. Прирост абонентов Интернета будет небольшим, но стабильным. Доступ в сеть интернет станет основой, на которой в течение следующих лет будут развиваться и другие современные телекоммуникационные услуги. К примеру, IP-TVc неограниченным количеством, телевизионных каналов, SIP-телефония с возможностью видеосвязи и многие другие.</w:t>
      </w:r>
    </w:p>
    <w:p w:rsidR="005A3768" w:rsidRPr="00D562C9" w:rsidRDefault="005A3768" w:rsidP="00E11BE7">
      <w:pPr>
        <w:spacing w:after="0"/>
        <w:ind w:firstLine="709"/>
        <w:jc w:val="both"/>
        <w:rPr>
          <w:rFonts w:ascii="Times New Roman" w:hAnsi="Times New Roman"/>
          <w:sz w:val="24"/>
          <w:szCs w:val="24"/>
        </w:rPr>
      </w:pPr>
      <w:r w:rsidRPr="00D562C9">
        <w:rPr>
          <w:rFonts w:ascii="Times New Roman" w:hAnsi="Times New Roman"/>
          <w:sz w:val="24"/>
          <w:szCs w:val="24"/>
        </w:rPr>
        <w:t>Работа операторов телевидения в городском округе Тольятти направлена на увеличение количества транслируемых каналов по линиям кабельного телевидения, а также на увеличение количества транслируемых программ, улучшению качества предоставляемых услуг и др</w:t>
      </w:r>
      <w:r w:rsidR="00144879" w:rsidRPr="00D562C9">
        <w:rPr>
          <w:rFonts w:ascii="Times New Roman" w:hAnsi="Times New Roman"/>
          <w:sz w:val="24"/>
          <w:szCs w:val="24"/>
        </w:rPr>
        <w:t>угое</w:t>
      </w:r>
      <w:r w:rsidRPr="00D562C9">
        <w:rPr>
          <w:rFonts w:ascii="Times New Roman" w:hAnsi="Times New Roman"/>
          <w:sz w:val="24"/>
          <w:szCs w:val="24"/>
        </w:rPr>
        <w:t>.</w:t>
      </w:r>
    </w:p>
    <w:p w:rsidR="00FB6465" w:rsidRPr="00D562C9" w:rsidRDefault="005A3768" w:rsidP="00E11BE7">
      <w:pPr>
        <w:spacing w:after="0"/>
        <w:ind w:firstLine="709"/>
        <w:jc w:val="both"/>
        <w:rPr>
          <w:rFonts w:ascii="Times New Roman" w:hAnsi="Times New Roman"/>
          <w:sz w:val="24"/>
          <w:szCs w:val="24"/>
        </w:rPr>
      </w:pPr>
      <w:r w:rsidRPr="00D562C9">
        <w:rPr>
          <w:rFonts w:ascii="Times New Roman" w:hAnsi="Times New Roman"/>
          <w:sz w:val="24"/>
          <w:szCs w:val="24"/>
        </w:rPr>
        <w:t>Таким образом, п</w:t>
      </w:r>
      <w:r w:rsidR="00FB6465" w:rsidRPr="00D562C9">
        <w:rPr>
          <w:rFonts w:ascii="Times New Roman" w:hAnsi="Times New Roman"/>
          <w:sz w:val="24"/>
          <w:szCs w:val="24"/>
        </w:rPr>
        <w:t xml:space="preserve">оложительная динамика показателя в прогнозном периоде будет обусловлена ростом числа дополнительных сервисов </w:t>
      </w:r>
      <w:r w:rsidR="00546D5E" w:rsidRPr="00D562C9">
        <w:rPr>
          <w:rFonts w:ascii="Times New Roman" w:hAnsi="Times New Roman"/>
          <w:sz w:val="24"/>
          <w:szCs w:val="24"/>
        </w:rPr>
        <w:t>и внедрением новых видов услуг.</w:t>
      </w:r>
    </w:p>
    <w:p w:rsidR="00D562C9" w:rsidRDefault="00D562C9" w:rsidP="00D562C9">
      <w:pPr>
        <w:spacing w:after="0"/>
        <w:ind w:firstLine="709"/>
        <w:jc w:val="both"/>
        <w:rPr>
          <w:rFonts w:ascii="Times New Roman" w:hAnsi="Times New Roman"/>
          <w:sz w:val="24"/>
          <w:szCs w:val="24"/>
        </w:rPr>
      </w:pPr>
    </w:p>
    <w:p w:rsidR="0048516B" w:rsidRDefault="0048516B" w:rsidP="0048516B">
      <w:pPr>
        <w:spacing w:after="0" w:line="312" w:lineRule="auto"/>
        <w:jc w:val="center"/>
        <w:rPr>
          <w:rFonts w:ascii="Times New Roman" w:hAnsi="Times New Roman"/>
          <w:b/>
          <w:sz w:val="24"/>
          <w:szCs w:val="24"/>
        </w:rPr>
      </w:pPr>
      <w:r w:rsidRPr="00491D26">
        <w:rPr>
          <w:rFonts w:ascii="Times New Roman" w:hAnsi="Times New Roman"/>
          <w:b/>
          <w:sz w:val="24"/>
          <w:szCs w:val="24"/>
        </w:rPr>
        <w:t>Образование</w:t>
      </w:r>
    </w:p>
    <w:p w:rsidR="00D3124D" w:rsidRPr="00491D26" w:rsidRDefault="00D3124D" w:rsidP="0048516B">
      <w:pPr>
        <w:spacing w:after="0" w:line="312" w:lineRule="auto"/>
        <w:jc w:val="center"/>
        <w:rPr>
          <w:rFonts w:ascii="Times New Roman" w:hAnsi="Times New Roman"/>
          <w:b/>
          <w:sz w:val="24"/>
          <w:szCs w:val="24"/>
        </w:rPr>
      </w:pPr>
    </w:p>
    <w:p w:rsidR="0048516B" w:rsidRPr="002B0FB1" w:rsidRDefault="0048516B" w:rsidP="0048516B">
      <w:pPr>
        <w:pStyle w:val="a6"/>
        <w:spacing w:after="0"/>
        <w:ind w:firstLine="709"/>
        <w:jc w:val="both"/>
        <w:rPr>
          <w:rFonts w:ascii="Times New Roman" w:hAnsi="Times New Roman" w:cs="Times New Roman"/>
          <w:sz w:val="24"/>
          <w:szCs w:val="24"/>
        </w:rPr>
      </w:pPr>
      <w:r w:rsidRPr="002B0FB1">
        <w:rPr>
          <w:rFonts w:ascii="Times New Roman" w:hAnsi="Times New Roman" w:cs="Times New Roman"/>
          <w:sz w:val="24"/>
          <w:szCs w:val="24"/>
        </w:rPr>
        <w:t>Отрасль образования - одна из важнейшей составляющих социальной сферы городского округа Тольятти, развитие которой в прогнозном периоде является приоритетным направлением деятельности.</w:t>
      </w:r>
    </w:p>
    <w:p w:rsidR="0048516B" w:rsidRDefault="00C54334" w:rsidP="0048516B">
      <w:pPr>
        <w:widowControl w:val="0"/>
        <w:spacing w:after="0"/>
        <w:ind w:firstLine="709"/>
        <w:jc w:val="both"/>
        <w:rPr>
          <w:rFonts w:ascii="Times New Roman" w:hAnsi="Times New Roman"/>
          <w:sz w:val="24"/>
          <w:szCs w:val="24"/>
          <w:lang w:eastAsia="ar-SA"/>
        </w:rPr>
      </w:pPr>
      <w:r>
        <w:rPr>
          <w:rFonts w:ascii="Times New Roman" w:hAnsi="Times New Roman"/>
          <w:sz w:val="24"/>
          <w:szCs w:val="24"/>
          <w:lang w:eastAsia="ar-SA"/>
        </w:rPr>
        <w:t>П</w:t>
      </w:r>
      <w:r w:rsidR="0048516B" w:rsidRPr="005C6037">
        <w:rPr>
          <w:rFonts w:ascii="Times New Roman" w:hAnsi="Times New Roman"/>
          <w:sz w:val="24"/>
          <w:szCs w:val="24"/>
          <w:lang w:eastAsia="ar-SA"/>
        </w:rPr>
        <w:t>родолжится реализация мероприятий по созданию дополнительных мест</w:t>
      </w:r>
      <w:r w:rsidR="0048516B">
        <w:rPr>
          <w:rFonts w:ascii="Times New Roman" w:hAnsi="Times New Roman"/>
          <w:sz w:val="24"/>
          <w:szCs w:val="24"/>
          <w:lang w:eastAsia="ar-SA"/>
        </w:rPr>
        <w:t xml:space="preserve"> в учреждениях образования</w:t>
      </w:r>
      <w:r w:rsidR="0048516B" w:rsidRPr="005C6037">
        <w:rPr>
          <w:rFonts w:ascii="Times New Roman" w:hAnsi="Times New Roman"/>
          <w:sz w:val="24"/>
          <w:szCs w:val="24"/>
          <w:lang w:eastAsia="ar-SA"/>
        </w:rPr>
        <w:t>.</w:t>
      </w:r>
    </w:p>
    <w:p w:rsidR="0048516B" w:rsidRPr="009E2CF7" w:rsidRDefault="0048516B" w:rsidP="0048516B">
      <w:pPr>
        <w:widowControl w:val="0"/>
        <w:spacing w:after="0"/>
        <w:ind w:firstLine="709"/>
        <w:jc w:val="both"/>
        <w:rPr>
          <w:rFonts w:ascii="Times New Roman" w:hAnsi="Times New Roman"/>
          <w:sz w:val="24"/>
          <w:szCs w:val="24"/>
          <w:lang w:eastAsia="ar-SA"/>
        </w:rPr>
      </w:pPr>
      <w:r w:rsidRPr="005C6037">
        <w:rPr>
          <w:rFonts w:ascii="Times New Roman" w:hAnsi="Times New Roman"/>
          <w:sz w:val="24"/>
          <w:szCs w:val="24"/>
          <w:lang w:eastAsia="ar-SA"/>
        </w:rPr>
        <w:t>Проблема дефицита мест в дошкольных учреждениях будет решаться за счет строительства</w:t>
      </w:r>
      <w:r>
        <w:rPr>
          <w:rFonts w:ascii="Times New Roman" w:hAnsi="Times New Roman"/>
          <w:sz w:val="24"/>
          <w:szCs w:val="24"/>
          <w:lang w:eastAsia="ar-SA"/>
        </w:rPr>
        <w:t xml:space="preserve"> и реконструкции зданий дошкольных учреждений</w:t>
      </w:r>
      <w:r w:rsidRPr="005C6037">
        <w:rPr>
          <w:rFonts w:ascii="Times New Roman" w:hAnsi="Times New Roman"/>
          <w:sz w:val="24"/>
          <w:szCs w:val="24"/>
          <w:lang w:eastAsia="ar-SA"/>
        </w:rPr>
        <w:t xml:space="preserve">, открытия групп на базе образовательных учреждений. </w:t>
      </w:r>
      <w:r w:rsidR="00C6772B">
        <w:rPr>
          <w:rFonts w:ascii="Times New Roman" w:hAnsi="Times New Roman"/>
          <w:sz w:val="24"/>
          <w:szCs w:val="24"/>
          <w:lang w:eastAsia="ar-SA"/>
        </w:rPr>
        <w:t>В прогнозном периоде п</w:t>
      </w:r>
      <w:r w:rsidRPr="009E2CF7">
        <w:rPr>
          <w:rFonts w:ascii="Times New Roman" w:hAnsi="Times New Roman"/>
          <w:sz w:val="24"/>
          <w:szCs w:val="24"/>
          <w:lang w:eastAsia="ar-SA"/>
        </w:rPr>
        <w:t>редполагается дополнительное открытие 735 мест для детей от 3 до 6 лет, в том числе - 445 мест за счёт строительства детских садов в микрорайоне «Калина», микрорайоне «Жигулевское море», детского сада № 210 «Ладушки» в 20 квартале Автозаводского района.</w:t>
      </w:r>
    </w:p>
    <w:p w:rsidR="0048516B" w:rsidRDefault="0048516B" w:rsidP="0048516B">
      <w:pPr>
        <w:pStyle w:val="aa"/>
        <w:spacing w:before="0" w:after="0" w:line="276" w:lineRule="auto"/>
        <w:ind w:firstLine="709"/>
        <w:jc w:val="both"/>
      </w:pPr>
      <w:r w:rsidRPr="009F2E21">
        <w:t>Следует отметить</w:t>
      </w:r>
      <w:r>
        <w:t>, что</w:t>
      </w:r>
      <w:r w:rsidRPr="009F2E21">
        <w:t xml:space="preserve"> в связи с высокой рождаемостью, наблюдаемой в городе после 2000-х годов (пик рождаемости за последние 20 лет пришелся на 2012-2015 годы), темпы роста общего количества детей в возрасте 3-6 лет в городском округе Тольятти значительно опережают темпы увеличения количества мест в муниципальных дошкольных образовательных учреждениях (ДОУ).</w:t>
      </w:r>
      <w:r>
        <w:t xml:space="preserve"> </w:t>
      </w:r>
    </w:p>
    <w:p w:rsidR="0048516B" w:rsidRDefault="0048516B" w:rsidP="0048516B">
      <w:pPr>
        <w:pStyle w:val="aa"/>
        <w:spacing w:before="0" w:after="0" w:line="276" w:lineRule="auto"/>
        <w:ind w:firstLine="709"/>
        <w:jc w:val="both"/>
      </w:pPr>
      <w:r w:rsidRPr="00E67145">
        <w:t>Начиная с 2021 года</w:t>
      </w:r>
      <w:r>
        <w:t>,</w:t>
      </w:r>
      <w:r w:rsidRPr="00E67145">
        <w:t xml:space="preserve"> данная тенденция изменится: количество детей данной возрастной категории будет снижаться (за счет спада рождаемости с 2017 года), а обеспеченность дошкольными образовательными</w:t>
      </w:r>
      <w:r w:rsidRPr="002A4C3E">
        <w:t xml:space="preserve"> учреждениями в 2022 году может </w:t>
      </w:r>
      <w:r w:rsidRPr="002A4C3E">
        <w:lastRenderedPageBreak/>
        <w:t xml:space="preserve">составить </w:t>
      </w:r>
      <w:r>
        <w:t>порядка 1026 мест</w:t>
      </w:r>
      <w:r w:rsidRPr="002A4C3E">
        <w:t xml:space="preserve"> на 1000 детей в возрасте 3-6 лет по консервативному и базовому варианту прогноза.</w:t>
      </w:r>
    </w:p>
    <w:p w:rsidR="0066359D" w:rsidRPr="000F086F" w:rsidRDefault="0066359D" w:rsidP="0048516B">
      <w:pPr>
        <w:pStyle w:val="aa"/>
        <w:spacing w:before="0" w:after="0" w:line="276" w:lineRule="auto"/>
        <w:ind w:firstLine="709"/>
        <w:jc w:val="both"/>
      </w:pPr>
      <w:r w:rsidRPr="0066359D">
        <w:t>Численность детей, состоящих на учете для определения в дошкольные образовательные учреждения</w:t>
      </w:r>
      <w:r>
        <w:t>,</w:t>
      </w:r>
      <w:r w:rsidR="0006536E">
        <w:t xml:space="preserve"> </w:t>
      </w:r>
      <w:r>
        <w:t>будет снижаться и к концу 2022 года составит 7,6 тыс. детей (снижение на 18,4% к 2019 году).</w:t>
      </w:r>
    </w:p>
    <w:p w:rsidR="0048516B" w:rsidRPr="00F95F5F" w:rsidRDefault="0048516B" w:rsidP="00F95F5F">
      <w:pPr>
        <w:pStyle w:val="aa"/>
        <w:spacing w:before="0" w:after="0" w:line="276" w:lineRule="auto"/>
        <w:ind w:firstLine="709"/>
        <w:jc w:val="both"/>
      </w:pPr>
      <w:r>
        <w:t xml:space="preserve">В прогнозном периоде </w:t>
      </w:r>
      <w:r w:rsidRPr="000F086F">
        <w:t>численность детей в возрасте 7-17 лет</w:t>
      </w:r>
      <w:r>
        <w:t>, напротив, будет расти и к 2022 году составит порядка 87 тыс.</w:t>
      </w:r>
      <w:r w:rsidR="00C6772B">
        <w:t xml:space="preserve"> </w:t>
      </w:r>
      <w:r>
        <w:t>человек</w:t>
      </w:r>
      <w:r w:rsidRPr="000F086F">
        <w:t xml:space="preserve"> </w:t>
      </w:r>
      <w:r>
        <w:t>(</w:t>
      </w:r>
      <w:r w:rsidRPr="000F086F">
        <w:t xml:space="preserve">на </w:t>
      </w:r>
      <w:r w:rsidRPr="002A4C3E">
        <w:t>8</w:t>
      </w:r>
      <w:r w:rsidR="0066359D">
        <w:t>,2</w:t>
      </w:r>
      <w:r w:rsidRPr="002A4C3E">
        <w:t>%</w:t>
      </w:r>
      <w:r w:rsidRPr="000F086F">
        <w:t xml:space="preserve"> относительно 201</w:t>
      </w:r>
      <w:r>
        <w:t>9</w:t>
      </w:r>
      <w:r w:rsidRPr="000F086F">
        <w:t xml:space="preserve"> года</w:t>
      </w:r>
      <w:r>
        <w:t>)</w:t>
      </w:r>
      <w:r w:rsidRPr="000F086F">
        <w:t>.</w:t>
      </w:r>
      <w:r>
        <w:t xml:space="preserve"> </w:t>
      </w:r>
      <w:r w:rsidR="0066359D" w:rsidRPr="0066359D">
        <w:t>Численность обучающихся в муниципальных бюджетных общеобразовательных организациях увеличится в 2022 году на 7,7% к уровню 2019 года и составит порядка 79,3 тыс. человек.</w:t>
      </w:r>
      <w:r w:rsidR="00F95F5F" w:rsidRPr="00F95F5F">
        <w:t xml:space="preserve"> </w:t>
      </w:r>
      <w:r w:rsidR="00F95F5F">
        <w:t>При этом</w:t>
      </w:r>
      <w:r w:rsidR="00F95F5F" w:rsidRPr="00F95F5F">
        <w:t>, численность детей, обучающихся в первую смену будет незначительно снижаться, а во вторую смену – увеличиваться.</w:t>
      </w:r>
    </w:p>
    <w:p w:rsidR="0048516B" w:rsidRPr="00EC0196" w:rsidRDefault="0048516B" w:rsidP="0048516B">
      <w:pPr>
        <w:pStyle w:val="aa"/>
        <w:spacing w:before="0" w:after="0" w:line="276" w:lineRule="auto"/>
        <w:ind w:firstLine="709"/>
        <w:jc w:val="both"/>
      </w:pPr>
      <w:r w:rsidRPr="00EC0196">
        <w:t>Одним из главных событий 2019 года является старт реализации национальных проектов.</w:t>
      </w:r>
    </w:p>
    <w:p w:rsidR="0048516B" w:rsidRPr="00791401" w:rsidRDefault="0048516B" w:rsidP="0048516B">
      <w:pPr>
        <w:pStyle w:val="aa"/>
        <w:spacing w:before="0" w:after="0" w:line="276" w:lineRule="auto"/>
        <w:ind w:firstLine="709"/>
        <w:jc w:val="both"/>
      </w:pPr>
      <w:r w:rsidRPr="00791401">
        <w:t>Руководствуясь постановлением  Правительства Самарской области  «Об общей координации реализации национальных и федеральных проектов и внесении изменений в отдельные постановления Правительства Самарской области» и другими нормативно-правовыми документами различных уровней, в городском округе Тольятти   по отрасли «Образование» реализуются  два национальных проекта «Образование» и «Демография».</w:t>
      </w:r>
    </w:p>
    <w:p w:rsidR="0048516B" w:rsidRPr="00791401" w:rsidRDefault="0048516B" w:rsidP="0048516B">
      <w:pPr>
        <w:spacing w:after="0"/>
        <w:ind w:firstLine="709"/>
        <w:jc w:val="both"/>
        <w:rPr>
          <w:rFonts w:ascii="Times New Roman" w:hAnsi="Times New Roman"/>
          <w:sz w:val="24"/>
          <w:szCs w:val="24"/>
          <w:lang w:eastAsia="ar-SA"/>
        </w:rPr>
      </w:pPr>
      <w:r w:rsidRPr="00791401">
        <w:rPr>
          <w:rFonts w:ascii="Times New Roman" w:hAnsi="Times New Roman"/>
          <w:sz w:val="24"/>
          <w:szCs w:val="24"/>
          <w:lang w:eastAsia="ar-SA"/>
        </w:rPr>
        <w:t xml:space="preserve"> Национальный проект «Образование» реализуется по 6-ти  направлениям: «Современная школа», «Учитель будущего», «Успех каждого ребенка», «Социальная активность», «Цифровая образовательная среда», «Поддержка семей, имеющих детей». Национальный проект «Демография» реализуется по 3-м  направлениям: «Содействие занятости женщин – создание условий дошкольного образования для детей в возрасте до трех лет», «Старшее поколение», «Финансовая поддержка семей при рождении детей».</w:t>
      </w:r>
    </w:p>
    <w:p w:rsidR="0048516B" w:rsidRPr="00791401" w:rsidRDefault="0048516B" w:rsidP="0048516B">
      <w:pPr>
        <w:spacing w:after="0"/>
        <w:ind w:firstLine="709"/>
        <w:jc w:val="both"/>
        <w:rPr>
          <w:rFonts w:ascii="Times New Roman" w:hAnsi="Times New Roman"/>
          <w:sz w:val="24"/>
          <w:szCs w:val="24"/>
          <w:lang w:eastAsia="ar-SA"/>
        </w:rPr>
      </w:pPr>
      <w:r w:rsidRPr="00791401">
        <w:rPr>
          <w:rFonts w:ascii="Times New Roman" w:hAnsi="Times New Roman"/>
          <w:sz w:val="24"/>
          <w:szCs w:val="24"/>
          <w:lang w:eastAsia="ar-SA"/>
        </w:rPr>
        <w:t xml:space="preserve">Финансовая составляющая региональных проектов по городскому округу Тольятти  заложена в федеральных проектах «Современная школа» и  «Цифровая образовательная среда» национального проекта «Образование», а также в национальном проекте «Демография» (в части, касающейся образования: строительство детских садов, создание дополнительных мест для детей дошкольного и ясельного возраста в действующих садах </w:t>
      </w:r>
      <w:r w:rsidR="00E17851">
        <w:rPr>
          <w:rFonts w:ascii="Times New Roman" w:hAnsi="Times New Roman"/>
          <w:sz w:val="24"/>
          <w:szCs w:val="24"/>
          <w:lang w:eastAsia="ar-SA"/>
        </w:rPr>
        <w:t xml:space="preserve">городского округа </w:t>
      </w:r>
      <w:r w:rsidRPr="00791401">
        <w:rPr>
          <w:rFonts w:ascii="Times New Roman" w:hAnsi="Times New Roman"/>
          <w:sz w:val="24"/>
          <w:szCs w:val="24"/>
          <w:lang w:eastAsia="ar-SA"/>
        </w:rPr>
        <w:t xml:space="preserve">Тольятти).    </w:t>
      </w:r>
    </w:p>
    <w:p w:rsidR="0048516B" w:rsidRPr="00791401" w:rsidRDefault="0048516B" w:rsidP="0048516B">
      <w:pPr>
        <w:shd w:val="clear" w:color="auto" w:fill="FFFFFF"/>
        <w:suppressAutoHyphens/>
        <w:spacing w:after="0"/>
        <w:ind w:firstLine="709"/>
        <w:jc w:val="both"/>
        <w:outlineLvl w:val="0"/>
        <w:rPr>
          <w:rFonts w:ascii="Times New Roman" w:hAnsi="Times New Roman"/>
          <w:sz w:val="24"/>
          <w:szCs w:val="24"/>
          <w:lang w:eastAsia="ar-SA"/>
        </w:rPr>
      </w:pPr>
      <w:r w:rsidRPr="00791401">
        <w:rPr>
          <w:rFonts w:ascii="Times New Roman" w:hAnsi="Times New Roman"/>
          <w:sz w:val="24"/>
          <w:szCs w:val="24"/>
          <w:lang w:eastAsia="ar-SA"/>
        </w:rPr>
        <w:t xml:space="preserve">Развитие  системы  общего образования осуществляется  в соответствии с постановлением Правительства Российской Федерации от 23.05.2015 №497 «О Федеральной целевой программе развития образования на 2016 - 2020 годы», распоряжениями Правительства Российской Федерации от 29.05.2015 № 996-р «Стратегия развития воспитания в Российской Федерации на период до 2025 года», от 25.08.2014 </w:t>
      </w:r>
      <w:r w:rsidR="0006536E">
        <w:rPr>
          <w:rFonts w:ascii="Times New Roman" w:hAnsi="Times New Roman"/>
          <w:sz w:val="24"/>
          <w:szCs w:val="24"/>
          <w:lang w:eastAsia="ar-SA"/>
        </w:rPr>
        <w:t xml:space="preserve">        </w:t>
      </w:r>
      <w:r w:rsidRPr="00791401">
        <w:rPr>
          <w:rFonts w:ascii="Times New Roman" w:hAnsi="Times New Roman"/>
          <w:sz w:val="24"/>
          <w:szCs w:val="24"/>
          <w:lang w:eastAsia="ar-SA"/>
        </w:rPr>
        <w:t>№ 1618-р «Об утверждении «Концепции государственной семейной политики в Российской Федерации на период до 2025 года», приказом Мин</w:t>
      </w:r>
      <w:r w:rsidR="00E17851">
        <w:rPr>
          <w:rFonts w:ascii="Times New Roman" w:hAnsi="Times New Roman"/>
          <w:sz w:val="24"/>
          <w:szCs w:val="24"/>
          <w:lang w:eastAsia="ar-SA"/>
        </w:rPr>
        <w:t xml:space="preserve">истерства </w:t>
      </w:r>
      <w:r w:rsidRPr="00791401">
        <w:rPr>
          <w:rFonts w:ascii="Times New Roman" w:hAnsi="Times New Roman"/>
          <w:sz w:val="24"/>
          <w:szCs w:val="24"/>
          <w:lang w:eastAsia="ar-SA"/>
        </w:rPr>
        <w:t>обр</w:t>
      </w:r>
      <w:r w:rsidR="00E17851">
        <w:rPr>
          <w:rFonts w:ascii="Times New Roman" w:hAnsi="Times New Roman"/>
          <w:sz w:val="24"/>
          <w:szCs w:val="24"/>
          <w:lang w:eastAsia="ar-SA"/>
        </w:rPr>
        <w:t xml:space="preserve">азования и </w:t>
      </w:r>
      <w:r w:rsidRPr="00791401">
        <w:rPr>
          <w:rFonts w:ascii="Times New Roman" w:hAnsi="Times New Roman"/>
          <w:sz w:val="24"/>
          <w:szCs w:val="24"/>
          <w:lang w:eastAsia="ar-SA"/>
        </w:rPr>
        <w:t>науки Росс</w:t>
      </w:r>
      <w:r w:rsidR="00E17851">
        <w:rPr>
          <w:rFonts w:ascii="Times New Roman" w:hAnsi="Times New Roman"/>
          <w:sz w:val="24"/>
          <w:szCs w:val="24"/>
          <w:lang w:eastAsia="ar-SA"/>
        </w:rPr>
        <w:t>ийской Федерации</w:t>
      </w:r>
      <w:r w:rsidRPr="00791401">
        <w:rPr>
          <w:rFonts w:ascii="Times New Roman" w:hAnsi="Times New Roman"/>
          <w:sz w:val="24"/>
          <w:szCs w:val="24"/>
          <w:lang w:eastAsia="ar-SA"/>
        </w:rPr>
        <w:t xml:space="preserve"> от 17.10.2013 №1155 «Об утверждении федерального государственного образовательного стандарта дошкольного образования», муниципальной программой «Развитие системы образования городского округа Тольятти на 2017 - 2020 гг.»  (утверждена постановлением мэрии городского округа Тольятти от 13.10.2016 № 3219-п/1).</w:t>
      </w:r>
    </w:p>
    <w:p w:rsidR="0048516B" w:rsidRPr="00791401" w:rsidRDefault="0048516B" w:rsidP="0048516B">
      <w:pPr>
        <w:shd w:val="clear" w:color="auto" w:fill="FFFFFF"/>
        <w:suppressAutoHyphens/>
        <w:spacing w:after="0"/>
        <w:ind w:firstLine="709"/>
        <w:jc w:val="both"/>
        <w:outlineLvl w:val="0"/>
        <w:rPr>
          <w:rFonts w:ascii="Times New Roman" w:hAnsi="Times New Roman"/>
          <w:sz w:val="24"/>
          <w:szCs w:val="24"/>
          <w:lang w:eastAsia="ar-SA"/>
        </w:rPr>
      </w:pPr>
      <w:r w:rsidRPr="00791401">
        <w:rPr>
          <w:rFonts w:ascii="Times New Roman" w:hAnsi="Times New Roman"/>
          <w:sz w:val="24"/>
          <w:szCs w:val="24"/>
          <w:lang w:eastAsia="ar-SA"/>
        </w:rPr>
        <w:t xml:space="preserve">Основные  направления деятельности в сфере организации предоставления общедоступного и бесплатного дошкольного образования: </w:t>
      </w:r>
    </w:p>
    <w:p w:rsidR="0048516B" w:rsidRPr="00791401" w:rsidRDefault="0048516B" w:rsidP="0048516B">
      <w:pPr>
        <w:numPr>
          <w:ilvl w:val="0"/>
          <w:numId w:val="16"/>
        </w:numPr>
        <w:tabs>
          <w:tab w:val="left" w:pos="993"/>
        </w:tabs>
        <w:suppressAutoHyphens/>
        <w:spacing w:after="0"/>
        <w:ind w:left="0" w:firstLine="709"/>
        <w:jc w:val="both"/>
        <w:rPr>
          <w:rFonts w:ascii="Times New Roman" w:hAnsi="Times New Roman"/>
          <w:sz w:val="24"/>
          <w:szCs w:val="24"/>
          <w:lang w:eastAsia="ar-SA"/>
        </w:rPr>
      </w:pPr>
      <w:r w:rsidRPr="00791401">
        <w:rPr>
          <w:rFonts w:ascii="Times New Roman" w:hAnsi="Times New Roman"/>
          <w:sz w:val="24"/>
          <w:szCs w:val="24"/>
          <w:lang w:eastAsia="ar-SA"/>
        </w:rPr>
        <w:lastRenderedPageBreak/>
        <w:t>Повышение качества и доступности дошкольного образования для каждого ребенка.</w:t>
      </w:r>
    </w:p>
    <w:p w:rsidR="0048516B" w:rsidRPr="00791401" w:rsidRDefault="0048516B" w:rsidP="0048516B">
      <w:pPr>
        <w:suppressAutoHyphens/>
        <w:spacing w:after="0"/>
        <w:ind w:firstLine="709"/>
        <w:jc w:val="both"/>
        <w:rPr>
          <w:rFonts w:ascii="Times New Roman" w:hAnsi="Times New Roman"/>
          <w:sz w:val="24"/>
          <w:szCs w:val="24"/>
          <w:lang w:eastAsia="ar-SA"/>
        </w:rPr>
      </w:pPr>
      <w:r w:rsidRPr="00791401">
        <w:rPr>
          <w:rFonts w:ascii="Times New Roman" w:hAnsi="Times New Roman"/>
          <w:sz w:val="24"/>
          <w:szCs w:val="24"/>
          <w:lang w:eastAsia="ar-SA"/>
        </w:rPr>
        <w:t xml:space="preserve"> В период до 2021 года необходимо обеспечить в городском округе Тольятти доступность дошкольного образования для детей в во</w:t>
      </w:r>
      <w:r w:rsidR="00E17851">
        <w:rPr>
          <w:rFonts w:ascii="Times New Roman" w:hAnsi="Times New Roman"/>
          <w:sz w:val="24"/>
          <w:szCs w:val="24"/>
          <w:lang w:eastAsia="ar-SA"/>
        </w:rPr>
        <w:t>зрасте от 1,5 до 3-х лет до 100</w:t>
      </w:r>
      <w:r w:rsidRPr="00791401">
        <w:rPr>
          <w:rFonts w:ascii="Times New Roman" w:hAnsi="Times New Roman"/>
          <w:sz w:val="24"/>
          <w:szCs w:val="24"/>
          <w:lang w:eastAsia="ar-SA"/>
        </w:rPr>
        <w:t>%. Таким образом, потребуются дополнительные места в детских садах для детей раннего возраста.</w:t>
      </w:r>
    </w:p>
    <w:p w:rsidR="0048516B" w:rsidRPr="00EC0196" w:rsidRDefault="0048516B" w:rsidP="0048516B">
      <w:pPr>
        <w:pStyle w:val="Default"/>
        <w:numPr>
          <w:ilvl w:val="0"/>
          <w:numId w:val="16"/>
        </w:numPr>
        <w:tabs>
          <w:tab w:val="left" w:pos="993"/>
        </w:tabs>
        <w:suppressAutoHyphens/>
        <w:spacing w:line="276" w:lineRule="auto"/>
        <w:ind w:left="0" w:firstLine="709"/>
        <w:jc w:val="both"/>
        <w:rPr>
          <w:color w:val="auto"/>
          <w:lang w:eastAsia="ar-SA"/>
        </w:rPr>
      </w:pPr>
      <w:r w:rsidRPr="00EC0196">
        <w:rPr>
          <w:color w:val="auto"/>
          <w:lang w:eastAsia="ar-SA"/>
        </w:rPr>
        <w:t>Обеспечение стабильного функционирования образовательных учреждений.</w:t>
      </w:r>
    </w:p>
    <w:p w:rsidR="0048516B" w:rsidRPr="00EC0196" w:rsidRDefault="0048516B" w:rsidP="0048516B">
      <w:pPr>
        <w:pStyle w:val="Default"/>
        <w:numPr>
          <w:ilvl w:val="0"/>
          <w:numId w:val="16"/>
        </w:numPr>
        <w:tabs>
          <w:tab w:val="left" w:pos="993"/>
        </w:tabs>
        <w:suppressAutoHyphens/>
        <w:spacing w:line="276" w:lineRule="auto"/>
        <w:ind w:left="0" w:firstLine="709"/>
        <w:jc w:val="both"/>
        <w:rPr>
          <w:color w:val="auto"/>
          <w:lang w:eastAsia="ar-SA"/>
        </w:rPr>
      </w:pPr>
      <w:r w:rsidRPr="00EC0196">
        <w:rPr>
          <w:color w:val="auto"/>
          <w:lang w:eastAsia="ar-SA"/>
        </w:rPr>
        <w:t xml:space="preserve">Поэтапное обновление содержания образования, реализация  федерального государственного образовательного стандарта дошкольного образования (далее </w:t>
      </w:r>
      <w:r w:rsidR="0006536E">
        <w:rPr>
          <w:color w:val="auto"/>
          <w:lang w:eastAsia="ar-SA"/>
        </w:rPr>
        <w:t xml:space="preserve">по разделу </w:t>
      </w:r>
      <w:r w:rsidRPr="00EC0196">
        <w:rPr>
          <w:color w:val="auto"/>
          <w:lang w:eastAsia="ar-SA"/>
        </w:rPr>
        <w:t>- ФГОС ДО).</w:t>
      </w:r>
    </w:p>
    <w:p w:rsidR="0048516B" w:rsidRPr="00EC0196" w:rsidRDefault="0048516B" w:rsidP="0048516B">
      <w:pPr>
        <w:pStyle w:val="Default"/>
        <w:tabs>
          <w:tab w:val="left" w:pos="993"/>
        </w:tabs>
        <w:suppressAutoHyphens/>
        <w:spacing w:line="276" w:lineRule="auto"/>
        <w:ind w:firstLine="709"/>
        <w:jc w:val="both"/>
        <w:rPr>
          <w:color w:val="auto"/>
          <w:lang w:eastAsia="ar-SA"/>
        </w:rPr>
      </w:pPr>
      <w:r w:rsidRPr="00791401">
        <w:rPr>
          <w:color w:val="auto"/>
          <w:lang w:eastAsia="ar-SA"/>
        </w:rPr>
        <w:t>В ближайшие три года деятельность дошкольных образовательных учреждений городского округа Тольятти будет направлена на оптимальное использование всех имеющихся ресурсов, современных технологий, на открытость и тесное взаимодействие с другими социальными институтами, помогающими им решать образовательные задачи.</w:t>
      </w:r>
    </w:p>
    <w:p w:rsidR="0048516B" w:rsidRPr="00EC0196" w:rsidRDefault="0048516B" w:rsidP="0048516B">
      <w:pPr>
        <w:pStyle w:val="Default"/>
        <w:numPr>
          <w:ilvl w:val="0"/>
          <w:numId w:val="16"/>
        </w:numPr>
        <w:tabs>
          <w:tab w:val="left" w:pos="0"/>
          <w:tab w:val="left" w:pos="993"/>
        </w:tabs>
        <w:suppressAutoHyphens/>
        <w:spacing w:line="276" w:lineRule="auto"/>
        <w:ind w:left="0" w:firstLine="709"/>
        <w:jc w:val="both"/>
        <w:rPr>
          <w:color w:val="auto"/>
          <w:lang w:eastAsia="ar-SA"/>
        </w:rPr>
      </w:pPr>
      <w:r w:rsidRPr="00EC0196">
        <w:rPr>
          <w:color w:val="auto"/>
          <w:lang w:eastAsia="ar-SA"/>
        </w:rPr>
        <w:t>Развитие системы инклюзивного образования, создание в подведомственных учреждениях «доступной среды» для детей  с ограниченными возможностями здоровья.</w:t>
      </w:r>
    </w:p>
    <w:p w:rsidR="0048516B" w:rsidRPr="00EC0196" w:rsidRDefault="0048516B" w:rsidP="0048516B">
      <w:pPr>
        <w:pStyle w:val="Default"/>
        <w:tabs>
          <w:tab w:val="left" w:pos="0"/>
        </w:tabs>
        <w:suppressAutoHyphens/>
        <w:spacing w:line="276" w:lineRule="auto"/>
        <w:ind w:firstLine="709"/>
        <w:jc w:val="both"/>
        <w:rPr>
          <w:color w:val="auto"/>
          <w:lang w:eastAsia="ar-SA"/>
        </w:rPr>
      </w:pPr>
      <w:r w:rsidRPr="00791401">
        <w:rPr>
          <w:color w:val="auto"/>
          <w:lang w:eastAsia="ar-SA"/>
        </w:rPr>
        <w:t>Н</w:t>
      </w:r>
      <w:r w:rsidRPr="00EC0196">
        <w:rPr>
          <w:color w:val="auto"/>
          <w:lang w:eastAsia="ar-SA"/>
        </w:rPr>
        <w:t xml:space="preserve">еобходимым условием </w:t>
      </w:r>
      <w:r w:rsidRPr="00791401">
        <w:rPr>
          <w:color w:val="auto"/>
          <w:lang w:eastAsia="ar-SA"/>
        </w:rPr>
        <w:t>развития инклюзивного процесса</w:t>
      </w:r>
      <w:r w:rsidRPr="00EC0196">
        <w:rPr>
          <w:color w:val="auto"/>
          <w:lang w:eastAsia="ar-SA"/>
        </w:rPr>
        <w:t xml:space="preserve"> будет создание образовательного пространства, соответствующего различным потребностям всех детей. </w:t>
      </w:r>
      <w:r w:rsidRPr="00791401">
        <w:rPr>
          <w:color w:val="auto"/>
          <w:lang w:eastAsia="ar-SA"/>
        </w:rPr>
        <w:t>Педагоги делают и будут делать все возможное, чтобы дети с ограниченными возможностями здоровья не чувствовали себя «не такими, как все».</w:t>
      </w:r>
    </w:p>
    <w:p w:rsidR="0048516B" w:rsidRPr="00EC0196" w:rsidRDefault="0048516B" w:rsidP="0048516B">
      <w:pPr>
        <w:pStyle w:val="Default"/>
        <w:numPr>
          <w:ilvl w:val="0"/>
          <w:numId w:val="16"/>
        </w:numPr>
        <w:tabs>
          <w:tab w:val="left" w:pos="0"/>
          <w:tab w:val="left" w:pos="993"/>
        </w:tabs>
        <w:suppressAutoHyphens/>
        <w:spacing w:line="276" w:lineRule="auto"/>
        <w:ind w:left="0" w:firstLine="709"/>
        <w:jc w:val="both"/>
        <w:rPr>
          <w:color w:val="auto"/>
        </w:rPr>
      </w:pPr>
      <w:r w:rsidRPr="00EC0196">
        <w:rPr>
          <w:color w:val="auto"/>
          <w:lang w:eastAsia="ar-SA"/>
        </w:rPr>
        <w:t>Приведение условий в соотве</w:t>
      </w:r>
      <w:r w:rsidRPr="00EC0196">
        <w:rPr>
          <w:color w:val="auto"/>
        </w:rPr>
        <w:t>тствие с требованиями надзорных органов, устранение замечаний и требований предписаниям и судебным решениям.</w:t>
      </w:r>
    </w:p>
    <w:p w:rsidR="0048516B" w:rsidRPr="00EC0196" w:rsidRDefault="0048516B" w:rsidP="0048516B">
      <w:pPr>
        <w:pStyle w:val="Default"/>
        <w:numPr>
          <w:ilvl w:val="0"/>
          <w:numId w:val="16"/>
        </w:numPr>
        <w:tabs>
          <w:tab w:val="left" w:pos="0"/>
          <w:tab w:val="left" w:pos="993"/>
        </w:tabs>
        <w:suppressAutoHyphens/>
        <w:spacing w:line="276" w:lineRule="auto"/>
        <w:ind w:left="0" w:firstLine="709"/>
        <w:jc w:val="both"/>
        <w:rPr>
          <w:color w:val="auto"/>
        </w:rPr>
      </w:pPr>
      <w:r w:rsidRPr="00EC0196">
        <w:rPr>
          <w:color w:val="auto"/>
        </w:rPr>
        <w:t xml:space="preserve"> Укрепление материально-технической базы учреждений, в том числе </w:t>
      </w:r>
      <w:r w:rsidRPr="00EC0196">
        <w:rPr>
          <w:color w:val="auto"/>
          <w:shd w:val="clear" w:color="auto" w:fill="FFFFFF"/>
        </w:rPr>
        <w:t>развитию в них необходимой развивающей предметно-пространственной среды, обеспечивающей реализацию различных образовательных программ дошкольного образования.</w:t>
      </w:r>
    </w:p>
    <w:p w:rsidR="0048516B" w:rsidRPr="00154617" w:rsidRDefault="0048516B" w:rsidP="0048516B">
      <w:pPr>
        <w:tabs>
          <w:tab w:val="left" w:pos="360"/>
        </w:tabs>
        <w:suppressAutoHyphens/>
        <w:spacing w:after="0"/>
        <w:ind w:firstLine="709"/>
        <w:jc w:val="both"/>
        <w:rPr>
          <w:rFonts w:ascii="Times New Roman" w:hAnsi="Times New Roman"/>
          <w:bCs/>
          <w:sz w:val="24"/>
          <w:szCs w:val="24"/>
        </w:rPr>
      </w:pPr>
      <w:r w:rsidRPr="00154617">
        <w:rPr>
          <w:rFonts w:ascii="Times New Roman" w:hAnsi="Times New Roman"/>
          <w:bCs/>
          <w:sz w:val="24"/>
          <w:szCs w:val="24"/>
        </w:rPr>
        <w:t xml:space="preserve">Система дополнительного образования, созданная на территории городского округа Тольятти, обеспечивает многообразие видов деятельности. </w:t>
      </w:r>
    </w:p>
    <w:p w:rsidR="0048516B" w:rsidRPr="00154617" w:rsidRDefault="0048516B" w:rsidP="0048516B">
      <w:pPr>
        <w:shd w:val="clear" w:color="auto" w:fill="FFFFFF"/>
        <w:suppressAutoHyphens/>
        <w:spacing w:after="0"/>
        <w:ind w:firstLine="709"/>
        <w:jc w:val="both"/>
        <w:rPr>
          <w:rFonts w:ascii="Times New Roman" w:hAnsi="Times New Roman"/>
          <w:bCs/>
          <w:sz w:val="24"/>
          <w:szCs w:val="24"/>
        </w:rPr>
      </w:pPr>
      <w:r w:rsidRPr="00154617">
        <w:rPr>
          <w:rFonts w:ascii="Times New Roman" w:hAnsi="Times New Roman"/>
          <w:bCs/>
          <w:sz w:val="24"/>
          <w:szCs w:val="24"/>
        </w:rPr>
        <w:t xml:space="preserve">При этом отмечается необходимость продолжения работы по увеличению охвата детей, занятых в системе дополнительного образования по программам технического творчества, естественнонаучной направленности. </w:t>
      </w:r>
    </w:p>
    <w:p w:rsidR="0048516B" w:rsidRPr="00154617" w:rsidRDefault="0048516B" w:rsidP="0048516B">
      <w:pPr>
        <w:shd w:val="clear" w:color="auto" w:fill="FFFFFF"/>
        <w:suppressAutoHyphens/>
        <w:spacing w:after="0"/>
        <w:ind w:firstLine="709"/>
        <w:jc w:val="both"/>
        <w:rPr>
          <w:rFonts w:ascii="Times New Roman" w:hAnsi="Times New Roman"/>
          <w:sz w:val="24"/>
          <w:szCs w:val="24"/>
        </w:rPr>
      </w:pPr>
      <w:r w:rsidRPr="00154617">
        <w:rPr>
          <w:rFonts w:ascii="Times New Roman" w:hAnsi="Times New Roman"/>
          <w:sz w:val="24"/>
          <w:szCs w:val="24"/>
        </w:rPr>
        <w:t xml:space="preserve">Развитие технического потенциала подрастающего поколения - одна из стратегических задач развития  городского округа Тольятти и Самарской области. </w:t>
      </w:r>
    </w:p>
    <w:p w:rsidR="0048516B" w:rsidRPr="00154617" w:rsidRDefault="0048516B" w:rsidP="0048516B">
      <w:pPr>
        <w:tabs>
          <w:tab w:val="left" w:pos="426"/>
        </w:tabs>
        <w:spacing w:after="0"/>
        <w:ind w:firstLine="709"/>
        <w:jc w:val="both"/>
        <w:rPr>
          <w:rFonts w:ascii="Times New Roman" w:hAnsi="Times New Roman"/>
          <w:sz w:val="24"/>
          <w:szCs w:val="24"/>
        </w:rPr>
      </w:pPr>
      <w:r w:rsidRPr="00154617">
        <w:rPr>
          <w:rFonts w:ascii="Times New Roman" w:hAnsi="Times New Roman"/>
          <w:sz w:val="24"/>
          <w:szCs w:val="24"/>
        </w:rPr>
        <w:t xml:space="preserve">В рамках составляющей национального проекта «Успех каждого ребенка», в целях увеличения  к 2024 году, доли детей в возрасте от 5 до 18 лет, охваченных дополнительным образованием, на территории городского округа </w:t>
      </w:r>
      <w:r w:rsidR="005615F0">
        <w:rPr>
          <w:rFonts w:ascii="Times New Roman" w:hAnsi="Times New Roman"/>
          <w:sz w:val="24"/>
          <w:szCs w:val="24"/>
        </w:rPr>
        <w:t xml:space="preserve">Тольятти </w:t>
      </w:r>
      <w:r w:rsidRPr="00154617">
        <w:rPr>
          <w:rFonts w:ascii="Times New Roman" w:hAnsi="Times New Roman"/>
          <w:sz w:val="24"/>
          <w:szCs w:val="24"/>
        </w:rPr>
        <w:t>создан  детский технопарк «Кванториум», осуществлять  подготовку будущих кадров для территории опережающего развития и национального центра инжиниринга в городском округе Тольятти  на качественно ином уровне.</w:t>
      </w:r>
    </w:p>
    <w:p w:rsidR="0048516B" w:rsidRPr="00154617" w:rsidRDefault="0048516B" w:rsidP="0048516B">
      <w:pPr>
        <w:tabs>
          <w:tab w:val="left" w:pos="426"/>
        </w:tabs>
        <w:spacing w:after="0"/>
        <w:ind w:firstLine="709"/>
        <w:jc w:val="both"/>
        <w:rPr>
          <w:rFonts w:ascii="Times New Roman" w:hAnsi="Times New Roman"/>
          <w:sz w:val="24"/>
          <w:szCs w:val="24"/>
        </w:rPr>
      </w:pPr>
      <w:r w:rsidRPr="00154617">
        <w:rPr>
          <w:rFonts w:ascii="Times New Roman" w:eastAsia="Calibri" w:hAnsi="Times New Roman"/>
          <w:sz w:val="24"/>
          <w:szCs w:val="24"/>
        </w:rPr>
        <w:t xml:space="preserve">В настоящее время 800 детей обучаются в  детском технопарке «Кванториум», </w:t>
      </w:r>
      <w:r w:rsidRPr="00154617">
        <w:rPr>
          <w:rFonts w:ascii="Times New Roman" w:hAnsi="Times New Roman"/>
          <w:sz w:val="24"/>
          <w:szCs w:val="24"/>
        </w:rPr>
        <w:t xml:space="preserve"> к 2022 году планируется охватить до 2500 школьников. </w:t>
      </w:r>
    </w:p>
    <w:p w:rsidR="0048516B" w:rsidRPr="00154617" w:rsidRDefault="0048516B" w:rsidP="0048516B">
      <w:pPr>
        <w:tabs>
          <w:tab w:val="left" w:pos="993"/>
        </w:tabs>
        <w:snapToGrid w:val="0"/>
        <w:spacing w:after="0"/>
        <w:ind w:firstLine="709"/>
        <w:jc w:val="both"/>
        <w:rPr>
          <w:rFonts w:ascii="Times New Roman" w:hAnsi="Times New Roman"/>
          <w:bCs/>
          <w:sz w:val="24"/>
          <w:szCs w:val="24"/>
          <w:highlight w:val="yellow"/>
        </w:rPr>
      </w:pPr>
      <w:r w:rsidRPr="00154617">
        <w:rPr>
          <w:rFonts w:ascii="Times New Roman" w:hAnsi="Times New Roman"/>
          <w:sz w:val="24"/>
          <w:szCs w:val="24"/>
        </w:rPr>
        <w:t xml:space="preserve">Показатель охвата дополнительным образованием детей в прогнозном периоде будет снижаться (до 74,2%) в связи с тем, что количество детей в возрасте 5-18 лет в городском округе Тольятти будет расти более высокими темпами (порядка 7,7%), чем количество </w:t>
      </w:r>
      <w:r w:rsidR="0066359D">
        <w:rPr>
          <w:rFonts w:ascii="Times New Roman" w:hAnsi="Times New Roman"/>
          <w:sz w:val="24"/>
          <w:szCs w:val="24"/>
        </w:rPr>
        <w:t>мест в учреждениях дополнительного образования</w:t>
      </w:r>
      <w:r w:rsidRPr="00154617">
        <w:rPr>
          <w:rFonts w:ascii="Times New Roman" w:hAnsi="Times New Roman"/>
          <w:sz w:val="24"/>
          <w:szCs w:val="24"/>
        </w:rPr>
        <w:t xml:space="preserve">  (рост на 1,9%).</w:t>
      </w:r>
    </w:p>
    <w:p w:rsidR="0024525F" w:rsidRPr="0096463D" w:rsidRDefault="0024525F" w:rsidP="004272BD">
      <w:pPr>
        <w:tabs>
          <w:tab w:val="left" w:pos="993"/>
        </w:tabs>
        <w:snapToGrid w:val="0"/>
        <w:spacing w:after="0"/>
        <w:ind w:firstLine="709"/>
        <w:jc w:val="both"/>
        <w:rPr>
          <w:rFonts w:ascii="Times New Roman" w:hAnsi="Times New Roman"/>
          <w:bCs/>
          <w:sz w:val="24"/>
          <w:szCs w:val="24"/>
          <w:highlight w:val="yellow"/>
        </w:rPr>
      </w:pPr>
    </w:p>
    <w:p w:rsidR="0024525F" w:rsidRPr="005A6EE9" w:rsidRDefault="0024525F" w:rsidP="004272BD">
      <w:pPr>
        <w:tabs>
          <w:tab w:val="left" w:pos="993"/>
        </w:tabs>
        <w:snapToGrid w:val="0"/>
        <w:spacing w:after="0"/>
        <w:jc w:val="center"/>
        <w:rPr>
          <w:rFonts w:ascii="Times New Roman" w:hAnsi="Times New Roman"/>
          <w:b/>
          <w:bCs/>
          <w:sz w:val="24"/>
          <w:szCs w:val="24"/>
        </w:rPr>
      </w:pPr>
      <w:r w:rsidRPr="005A6EE9">
        <w:rPr>
          <w:rFonts w:ascii="Times New Roman" w:hAnsi="Times New Roman"/>
          <w:b/>
          <w:bCs/>
          <w:sz w:val="24"/>
          <w:szCs w:val="24"/>
        </w:rPr>
        <w:lastRenderedPageBreak/>
        <w:t>Культура</w:t>
      </w:r>
      <w:bookmarkStart w:id="9" w:name="культура"/>
      <w:bookmarkEnd w:id="9"/>
    </w:p>
    <w:p w:rsidR="00B35559" w:rsidRPr="0096463D" w:rsidRDefault="00B35559" w:rsidP="004272BD">
      <w:pPr>
        <w:tabs>
          <w:tab w:val="left" w:pos="993"/>
        </w:tabs>
        <w:snapToGrid w:val="0"/>
        <w:spacing w:after="0"/>
        <w:ind w:firstLine="709"/>
        <w:jc w:val="both"/>
        <w:rPr>
          <w:rFonts w:ascii="Times New Roman" w:hAnsi="Times New Roman"/>
          <w:b/>
          <w:bCs/>
          <w:sz w:val="24"/>
          <w:szCs w:val="24"/>
          <w:highlight w:val="yellow"/>
        </w:rPr>
      </w:pPr>
    </w:p>
    <w:p w:rsidR="005A6EE9" w:rsidRDefault="005A6EE9" w:rsidP="005A6EE9">
      <w:pPr>
        <w:pStyle w:val="af"/>
        <w:numPr>
          <w:ilvl w:val="0"/>
          <w:numId w:val="2"/>
        </w:numPr>
        <w:spacing w:line="276" w:lineRule="auto"/>
        <w:ind w:left="0" w:firstLine="709"/>
        <w:jc w:val="both"/>
        <w:rPr>
          <w:sz w:val="24"/>
          <w:szCs w:val="24"/>
        </w:rPr>
      </w:pPr>
      <w:r w:rsidRPr="008F01A4">
        <w:rPr>
          <w:sz w:val="24"/>
          <w:szCs w:val="24"/>
        </w:rPr>
        <w:t>В 20</w:t>
      </w:r>
      <w:r>
        <w:rPr>
          <w:sz w:val="24"/>
          <w:szCs w:val="24"/>
        </w:rPr>
        <w:t>20</w:t>
      </w:r>
      <w:r w:rsidRPr="008F01A4">
        <w:rPr>
          <w:sz w:val="24"/>
          <w:szCs w:val="24"/>
        </w:rPr>
        <w:t xml:space="preserve"> году и плановом периоде 202</w:t>
      </w:r>
      <w:r>
        <w:rPr>
          <w:sz w:val="24"/>
          <w:szCs w:val="24"/>
        </w:rPr>
        <w:t>1</w:t>
      </w:r>
      <w:r w:rsidRPr="008F01A4">
        <w:rPr>
          <w:sz w:val="24"/>
          <w:szCs w:val="24"/>
        </w:rPr>
        <w:t>-202</w:t>
      </w:r>
      <w:r>
        <w:rPr>
          <w:sz w:val="24"/>
          <w:szCs w:val="24"/>
        </w:rPr>
        <w:t>2</w:t>
      </w:r>
      <w:r w:rsidRPr="008F01A4">
        <w:rPr>
          <w:sz w:val="24"/>
          <w:szCs w:val="24"/>
        </w:rPr>
        <w:t xml:space="preserve"> годов развитие отрасли культуры на территории городского округа Тольятти будет осуществляться с учетом оптимизации и эффективного использования ресурсов муниципальных учреждений культуры и искусства. Разработка прогноза осуществлена в соответствии со стратегическими документами, действующими муниципальными и государственными программами, планом мероприятий («дорожная карта») «Изменения в отраслях социальной сферы, направленные на повышение эффективности сферы культуры» и других. </w:t>
      </w:r>
    </w:p>
    <w:p w:rsidR="005A6EE9" w:rsidRPr="005A6EE9" w:rsidRDefault="005A6EE9" w:rsidP="005A6EE9">
      <w:pPr>
        <w:pStyle w:val="2"/>
        <w:numPr>
          <w:ilvl w:val="0"/>
          <w:numId w:val="2"/>
        </w:numPr>
        <w:spacing w:after="0" w:line="276" w:lineRule="auto"/>
        <w:ind w:left="0" w:firstLine="709"/>
        <w:jc w:val="both"/>
        <w:rPr>
          <w:rFonts w:ascii="Times New Roman" w:hAnsi="Times New Roman"/>
          <w:sz w:val="24"/>
          <w:szCs w:val="24"/>
        </w:rPr>
      </w:pPr>
      <w:r w:rsidRPr="005A6EE9">
        <w:rPr>
          <w:rFonts w:ascii="Times New Roman" w:hAnsi="Times New Roman"/>
          <w:sz w:val="24"/>
          <w:szCs w:val="24"/>
        </w:rPr>
        <w:t>В целях дальнейшего социально-экономического развития, создания условий и возможностей для самореализации и раскрытия таланта каждого человека,  формирование культурной политики в прогнозный период предполагается активизировать работу в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5A6EE9" w:rsidRPr="00556BF7" w:rsidRDefault="005A6EE9" w:rsidP="005A6EE9">
      <w:pPr>
        <w:pStyle w:val="af"/>
        <w:numPr>
          <w:ilvl w:val="0"/>
          <w:numId w:val="2"/>
        </w:numPr>
        <w:spacing w:line="276" w:lineRule="auto"/>
        <w:ind w:left="0" w:firstLine="709"/>
        <w:jc w:val="both"/>
        <w:rPr>
          <w:sz w:val="24"/>
          <w:szCs w:val="24"/>
        </w:rPr>
      </w:pPr>
      <w:r w:rsidRPr="00556BF7">
        <w:rPr>
          <w:sz w:val="24"/>
          <w:szCs w:val="24"/>
        </w:rPr>
        <w:t>При сохранении количества общедоступных библиотек (43 единицы) в период 2020-2022 годов за счет прогнозируемого снижения численности населения городского округа</w:t>
      </w:r>
      <w:r w:rsidR="00F95F5F">
        <w:rPr>
          <w:sz w:val="24"/>
          <w:szCs w:val="24"/>
        </w:rPr>
        <w:t xml:space="preserve"> Тольятти</w:t>
      </w:r>
      <w:r w:rsidRPr="00556BF7">
        <w:rPr>
          <w:sz w:val="24"/>
          <w:szCs w:val="24"/>
        </w:rPr>
        <w:t xml:space="preserve"> значение показателя обеспеченности общедоступными библиотеками ожидается на уровне 0,62 учреждения на 10 тыс. населения. </w:t>
      </w:r>
    </w:p>
    <w:p w:rsidR="005A6EE9" w:rsidRPr="00556BF7" w:rsidRDefault="005A6EE9" w:rsidP="005A6EE9">
      <w:pPr>
        <w:pStyle w:val="af"/>
        <w:numPr>
          <w:ilvl w:val="0"/>
          <w:numId w:val="2"/>
        </w:numPr>
        <w:spacing w:line="276" w:lineRule="auto"/>
        <w:ind w:left="0" w:firstLine="709"/>
        <w:jc w:val="both"/>
        <w:rPr>
          <w:sz w:val="24"/>
          <w:szCs w:val="24"/>
        </w:rPr>
      </w:pPr>
      <w:r w:rsidRPr="00556BF7">
        <w:rPr>
          <w:sz w:val="24"/>
          <w:szCs w:val="24"/>
        </w:rPr>
        <w:t xml:space="preserve">В прогнозном периоде ожидается сохранение обеспеченности учреждениями культурно-досугового типа (5 единиц) на уровне 0,07 учреждений на 10 тыс. населения. </w:t>
      </w:r>
    </w:p>
    <w:p w:rsidR="005A6EE9" w:rsidRPr="00556BF7" w:rsidRDefault="005A6EE9" w:rsidP="005A6EE9">
      <w:pPr>
        <w:pStyle w:val="af"/>
        <w:numPr>
          <w:ilvl w:val="0"/>
          <w:numId w:val="2"/>
        </w:numPr>
        <w:spacing w:line="276" w:lineRule="auto"/>
        <w:ind w:left="0" w:firstLine="709"/>
        <w:jc w:val="both"/>
        <w:rPr>
          <w:sz w:val="24"/>
          <w:szCs w:val="24"/>
        </w:rPr>
      </w:pPr>
      <w:r w:rsidRPr="00556BF7">
        <w:rPr>
          <w:sz w:val="24"/>
          <w:szCs w:val="24"/>
        </w:rPr>
        <w:t>В целом, за прогнозный период с учетом планируемых мероприятий, количество посещений социокультурных мероприятий может увеличиться относительно оценки 2019 года по консервативному варианту на 2,3% и по базовому варианту на 5,7%, достигнув к 2022 году 2353-2430 посещений на 1000 чел</w:t>
      </w:r>
      <w:r w:rsidR="005615F0">
        <w:rPr>
          <w:sz w:val="24"/>
          <w:szCs w:val="24"/>
        </w:rPr>
        <w:t>овек</w:t>
      </w:r>
      <w:r w:rsidRPr="00556BF7">
        <w:rPr>
          <w:sz w:val="24"/>
          <w:szCs w:val="24"/>
        </w:rPr>
        <w:t xml:space="preserve"> населения в зависимости от вариантов развития. </w:t>
      </w:r>
    </w:p>
    <w:p w:rsidR="005A6EE9" w:rsidRPr="00556BF7" w:rsidRDefault="005A6EE9" w:rsidP="005A6EE9">
      <w:pPr>
        <w:pStyle w:val="af"/>
        <w:numPr>
          <w:ilvl w:val="0"/>
          <w:numId w:val="2"/>
        </w:numPr>
        <w:spacing w:line="276" w:lineRule="auto"/>
        <w:ind w:left="0" w:firstLine="709"/>
        <w:jc w:val="both"/>
        <w:rPr>
          <w:sz w:val="24"/>
          <w:szCs w:val="24"/>
        </w:rPr>
      </w:pPr>
      <w:r w:rsidRPr="00556BF7">
        <w:rPr>
          <w:sz w:val="24"/>
          <w:szCs w:val="24"/>
        </w:rPr>
        <w:t xml:space="preserve">Увеличение значений показателя «Количество посещений социокультурных мероприятий на территории муниципального образования» прогнозируется с учетом основных направлений деятельности, осуществляемых и планируемых к осуществлению органами местного самоуправления в целях проведения крупных праздничных культурно-массовых мероприятий и вовлечения населения к участию в этих мероприятиях, в том числе в мероприятиях по празднованию 50-летия выпуска первого легкового автомобиля ВАЗ, 75-летия Победы в Великой Отечественной войне и др. Благоустройство городской среды в моногороде позволит расширить места отдыха для населения и создать условия для проведения мероприятий на открытых площадках по месту жительства. </w:t>
      </w:r>
    </w:p>
    <w:p w:rsidR="005A6EE9" w:rsidRPr="005A6EE9" w:rsidRDefault="005A6EE9" w:rsidP="005A6EE9">
      <w:pPr>
        <w:pStyle w:val="2"/>
        <w:numPr>
          <w:ilvl w:val="0"/>
          <w:numId w:val="2"/>
        </w:numPr>
        <w:spacing w:after="0" w:line="276" w:lineRule="auto"/>
        <w:ind w:left="0" w:firstLine="709"/>
        <w:jc w:val="both"/>
        <w:rPr>
          <w:rFonts w:ascii="Times New Roman" w:hAnsi="Times New Roman"/>
          <w:sz w:val="24"/>
          <w:szCs w:val="24"/>
        </w:rPr>
      </w:pPr>
      <w:r w:rsidRPr="005A6EE9">
        <w:rPr>
          <w:rFonts w:ascii="Times New Roman" w:hAnsi="Times New Roman"/>
          <w:sz w:val="24"/>
          <w:szCs w:val="24"/>
        </w:rPr>
        <w:t xml:space="preserve">Прогнозируемое увеличение количества посещений социокультурных мероприятий предполагается также через участие в программах различных статусов: за счет средств вышестоящих бюджетов предусмотрено завершение капитального ремонта помещений МБУИиК «Тольяттинская филармония», МБУК «Тольяттинский краеведческий музей», выполнение ремонтных работ в МАУ «Культурный центр «Автоград». </w:t>
      </w:r>
    </w:p>
    <w:p w:rsidR="005A6EE9" w:rsidRPr="005A6EE9" w:rsidRDefault="005A6EE9" w:rsidP="005A6EE9">
      <w:pPr>
        <w:pStyle w:val="2"/>
        <w:numPr>
          <w:ilvl w:val="0"/>
          <w:numId w:val="2"/>
        </w:numPr>
        <w:spacing w:after="0" w:line="276" w:lineRule="auto"/>
        <w:ind w:left="0" w:firstLine="709"/>
        <w:jc w:val="both"/>
        <w:rPr>
          <w:rFonts w:ascii="Times New Roman" w:hAnsi="Times New Roman"/>
          <w:sz w:val="24"/>
          <w:szCs w:val="24"/>
        </w:rPr>
      </w:pPr>
      <w:r w:rsidRPr="005A6EE9">
        <w:rPr>
          <w:rFonts w:ascii="Times New Roman" w:hAnsi="Times New Roman"/>
          <w:sz w:val="24"/>
          <w:szCs w:val="24"/>
        </w:rPr>
        <w:t>В прогнозн</w:t>
      </w:r>
      <w:r w:rsidR="00F95F5F">
        <w:rPr>
          <w:rFonts w:ascii="Times New Roman" w:hAnsi="Times New Roman"/>
          <w:sz w:val="24"/>
          <w:szCs w:val="24"/>
        </w:rPr>
        <w:t>ом</w:t>
      </w:r>
      <w:r w:rsidRPr="005A6EE9">
        <w:rPr>
          <w:rFonts w:ascii="Times New Roman" w:hAnsi="Times New Roman"/>
          <w:sz w:val="24"/>
          <w:szCs w:val="24"/>
        </w:rPr>
        <w:t xml:space="preserve"> период</w:t>
      </w:r>
      <w:r w:rsidR="00F95F5F">
        <w:rPr>
          <w:rFonts w:ascii="Times New Roman" w:hAnsi="Times New Roman"/>
          <w:sz w:val="24"/>
          <w:szCs w:val="24"/>
        </w:rPr>
        <w:t>е</w:t>
      </w:r>
      <w:r w:rsidRPr="005A6EE9">
        <w:rPr>
          <w:rFonts w:ascii="Times New Roman" w:hAnsi="Times New Roman"/>
          <w:sz w:val="24"/>
          <w:szCs w:val="24"/>
        </w:rPr>
        <w:t xml:space="preserve"> будет продолжена работа по участию в мероприятиях и конкурсах национального проекта «Культура», в том числе в мероприятиях без прямого финансового обеспечения муниципальных образований (курсы повышения квалификации работников отрасли и др.). В паспорте муниципальной составляющей национального проекта «Культура» городского округа Тольятти на период 2019-2024 годов утвержден </w:t>
      </w:r>
      <w:r w:rsidRPr="005A6EE9">
        <w:rPr>
          <w:rFonts w:ascii="Times New Roman" w:hAnsi="Times New Roman"/>
          <w:sz w:val="24"/>
          <w:szCs w:val="24"/>
        </w:rPr>
        <w:lastRenderedPageBreak/>
        <w:t xml:space="preserve">системный показатель «Увеличение посещаемости учреждений культуры» на 15%, что также будет оказывать влияние на планирование деятельности муниципальных учреждений культуры и развитие платных услуг. </w:t>
      </w:r>
    </w:p>
    <w:p w:rsidR="005A6EE9" w:rsidRPr="005A6EE9" w:rsidRDefault="005A6EE9" w:rsidP="005A6EE9">
      <w:pPr>
        <w:pStyle w:val="2"/>
        <w:numPr>
          <w:ilvl w:val="0"/>
          <w:numId w:val="2"/>
        </w:numPr>
        <w:spacing w:after="0" w:line="276" w:lineRule="auto"/>
        <w:ind w:left="0" w:firstLine="709"/>
        <w:jc w:val="both"/>
        <w:rPr>
          <w:rFonts w:ascii="Times New Roman" w:hAnsi="Times New Roman"/>
          <w:sz w:val="24"/>
          <w:szCs w:val="24"/>
        </w:rPr>
      </w:pPr>
      <w:r w:rsidRPr="005A6EE9">
        <w:rPr>
          <w:rFonts w:ascii="Times New Roman" w:hAnsi="Times New Roman"/>
          <w:sz w:val="24"/>
          <w:szCs w:val="24"/>
        </w:rPr>
        <w:t xml:space="preserve">Прогнозируемое обновление ресурсов муниципальных учреждений культуры позволит сохранить динамику развития отрасли «Культура». Основными направлениями деятельности отрасли в прогнозном периоде остаются: укрепление материально-технической базы учреждений (приобретение специализированного оборудования, обеспечение безопасности посетителей, повышение комфортности и привлекательности учреждений); совершенствование системы оплаты труда работников культуры; улучшение качества оказываемых услуг. </w:t>
      </w:r>
    </w:p>
    <w:p w:rsidR="005A6EE9" w:rsidRPr="008D25D1" w:rsidRDefault="005A6EE9" w:rsidP="005A6EE9">
      <w:pPr>
        <w:pStyle w:val="32"/>
        <w:numPr>
          <w:ilvl w:val="0"/>
          <w:numId w:val="2"/>
        </w:numPr>
        <w:spacing w:after="0"/>
        <w:ind w:left="0" w:firstLine="709"/>
        <w:jc w:val="both"/>
        <w:rPr>
          <w:rFonts w:ascii="Times New Roman" w:hAnsi="Times New Roman"/>
          <w:sz w:val="24"/>
          <w:szCs w:val="24"/>
        </w:rPr>
      </w:pPr>
      <w:r w:rsidRPr="008D25D1">
        <w:rPr>
          <w:rFonts w:ascii="Times New Roman" w:hAnsi="Times New Roman"/>
          <w:sz w:val="24"/>
          <w:szCs w:val="24"/>
        </w:rPr>
        <w:t>Существенным препятствием в эффективном развитии отрасли культуры, ускорении темпов проектирования и строительства новых объектов, привлечении высококвалифицированных кадров, значительном увеличении объема услуг в соответствии с современными потребностями населения, а также в сохранении историко-культурного наследия, остаются недостаточность объемов инвестиций из бюджетов различных уровней и невысокий уровень доходов населения.</w:t>
      </w:r>
    </w:p>
    <w:p w:rsidR="0006536E" w:rsidRDefault="0006536E" w:rsidP="0023661F">
      <w:pPr>
        <w:pStyle w:val="32"/>
        <w:widowControl w:val="0"/>
        <w:spacing w:after="0"/>
        <w:ind w:left="0" w:firstLine="709"/>
        <w:jc w:val="center"/>
        <w:rPr>
          <w:rFonts w:ascii="Times New Roman" w:hAnsi="Times New Roman"/>
          <w:b/>
          <w:sz w:val="24"/>
          <w:szCs w:val="24"/>
        </w:rPr>
      </w:pPr>
    </w:p>
    <w:p w:rsidR="0023661F" w:rsidRDefault="0023661F" w:rsidP="0023661F">
      <w:pPr>
        <w:pStyle w:val="32"/>
        <w:widowControl w:val="0"/>
        <w:spacing w:after="0"/>
        <w:ind w:left="0" w:firstLine="709"/>
        <w:jc w:val="center"/>
        <w:rPr>
          <w:rFonts w:ascii="Times New Roman" w:hAnsi="Times New Roman"/>
          <w:b/>
          <w:sz w:val="24"/>
          <w:szCs w:val="24"/>
        </w:rPr>
      </w:pPr>
      <w:r w:rsidRPr="0070732C">
        <w:rPr>
          <w:rFonts w:ascii="Times New Roman" w:hAnsi="Times New Roman"/>
          <w:b/>
          <w:sz w:val="24"/>
          <w:szCs w:val="24"/>
        </w:rPr>
        <w:t>Физическая культура и спорт</w:t>
      </w:r>
    </w:p>
    <w:p w:rsidR="0006536E" w:rsidRPr="0070732C" w:rsidRDefault="0006536E" w:rsidP="0023661F">
      <w:pPr>
        <w:pStyle w:val="32"/>
        <w:widowControl w:val="0"/>
        <w:spacing w:after="0"/>
        <w:ind w:left="0" w:firstLine="709"/>
        <w:jc w:val="center"/>
        <w:rPr>
          <w:rFonts w:ascii="Times New Roman" w:hAnsi="Times New Roman"/>
          <w:b/>
          <w:sz w:val="24"/>
          <w:szCs w:val="24"/>
        </w:rPr>
      </w:pPr>
    </w:p>
    <w:p w:rsidR="0023661F" w:rsidRPr="0070732C" w:rsidRDefault="0023661F" w:rsidP="0023661F">
      <w:pPr>
        <w:widowControl w:val="0"/>
        <w:spacing w:after="0"/>
        <w:ind w:firstLine="709"/>
        <w:jc w:val="both"/>
        <w:rPr>
          <w:rFonts w:ascii="Times New Roman" w:hAnsi="Times New Roman"/>
          <w:sz w:val="24"/>
          <w:szCs w:val="24"/>
        </w:rPr>
      </w:pPr>
      <w:r w:rsidRPr="0070732C">
        <w:rPr>
          <w:rFonts w:ascii="Times New Roman" w:hAnsi="Times New Roman"/>
          <w:sz w:val="24"/>
          <w:szCs w:val="24"/>
        </w:rPr>
        <w:t>Основной целью развития отрасли является создание в городском округе Тольятти условий для роста численности населения, систематически занимающегося физической культурой и спортом.</w:t>
      </w:r>
    </w:p>
    <w:p w:rsidR="0023661F" w:rsidRPr="0070732C" w:rsidRDefault="0023661F" w:rsidP="0023661F">
      <w:pPr>
        <w:widowControl w:val="0"/>
        <w:spacing w:after="0"/>
        <w:ind w:firstLine="709"/>
        <w:jc w:val="both"/>
        <w:rPr>
          <w:rFonts w:ascii="Times New Roman" w:hAnsi="Times New Roman"/>
          <w:sz w:val="24"/>
          <w:szCs w:val="24"/>
        </w:rPr>
      </w:pPr>
      <w:r w:rsidRPr="0070732C">
        <w:rPr>
          <w:rFonts w:ascii="Times New Roman" w:hAnsi="Times New Roman"/>
          <w:sz w:val="24"/>
          <w:szCs w:val="24"/>
        </w:rPr>
        <w:t>Для положительной динамики численности населения, систематически занимающихся физической культурой и спортом</w:t>
      </w:r>
      <w:r w:rsidR="00F95F5F">
        <w:rPr>
          <w:rFonts w:ascii="Times New Roman" w:hAnsi="Times New Roman"/>
          <w:sz w:val="24"/>
          <w:szCs w:val="24"/>
        </w:rPr>
        <w:t>,</w:t>
      </w:r>
      <w:r w:rsidRPr="0070732C">
        <w:rPr>
          <w:rFonts w:ascii="Times New Roman" w:hAnsi="Times New Roman"/>
          <w:sz w:val="24"/>
          <w:szCs w:val="24"/>
        </w:rPr>
        <w:t xml:space="preserve"> планируется введение ставок инструкторов. В целях создания необходимых условий для увеличения количества населения, постоянно занимающихся физкультурой и спортом по месту жительства, необходимо постепенно увеличить количество ставок инструкторов по спорту в МБУС Центр физической культуры и спорта, введенных в 2016-2017 годах с 17 единиц до 89 единиц, в соответствии с рекомендациями Министерства спорта Самарской области, устанавливающими показатель из расчета - 1 инструктор на 8 000 жителей.</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 xml:space="preserve">Приоритетным направлением работы по развитию физической культуры и спорта в прогнозном периоде определено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увеличения пропускной способности. </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В целях проведения учебно-тренировочных занятий, физкультурных и спортивных мероприятий, привлечения обучающихся образовательных организаций к регулярным занятиям физической культурой и спортом, необходимо обеспечить модернизацию пришкольных спортивных площадок и оснащение их оборудованием в соответствии с современными требованиями.</w:t>
      </w:r>
    </w:p>
    <w:p w:rsidR="0023661F" w:rsidRPr="006D4EF6" w:rsidRDefault="0023661F" w:rsidP="0023661F">
      <w:pPr>
        <w:tabs>
          <w:tab w:val="left" w:pos="1400"/>
        </w:tabs>
        <w:spacing w:after="0"/>
        <w:ind w:firstLine="709"/>
        <w:jc w:val="both"/>
        <w:rPr>
          <w:rFonts w:ascii="Times New Roman" w:hAnsi="Times New Roman"/>
          <w:sz w:val="24"/>
          <w:szCs w:val="24"/>
        </w:rPr>
      </w:pPr>
      <w:r w:rsidRPr="006D4EF6">
        <w:rPr>
          <w:rFonts w:ascii="Times New Roman" w:hAnsi="Times New Roman"/>
          <w:sz w:val="24"/>
          <w:szCs w:val="24"/>
        </w:rPr>
        <w:t>В рамках национального проекта «Демография» реализовываются цели и задачи, поставленные в Указе Президента от 0</w:t>
      </w:r>
      <w:r w:rsidRPr="006D4EF6">
        <w:rPr>
          <w:rFonts w:ascii="Times New Roman" w:hAnsi="Times New Roman"/>
          <w:bCs/>
          <w:sz w:val="24"/>
          <w:szCs w:val="24"/>
        </w:rPr>
        <w:t>7.05.2018 года «О национальных целях и стратегических задачах развития Российской Федерации на период до 2024 года». В</w:t>
      </w:r>
      <w:r w:rsidRPr="006D4EF6">
        <w:rPr>
          <w:rFonts w:ascii="Times New Roman" w:hAnsi="Times New Roman"/>
          <w:sz w:val="24"/>
          <w:szCs w:val="24"/>
        </w:rPr>
        <w:t xml:space="preserve"> сфере физической культуры и спорта действует федеральный проект «Спорт - норма жизни».</w:t>
      </w:r>
    </w:p>
    <w:p w:rsidR="0023661F" w:rsidRPr="006D4EF6" w:rsidRDefault="0023661F" w:rsidP="0023661F">
      <w:pPr>
        <w:pStyle w:val="ConsPlusTitle"/>
        <w:spacing w:line="276" w:lineRule="auto"/>
        <w:ind w:firstLine="709"/>
        <w:jc w:val="both"/>
        <w:outlineLvl w:val="1"/>
        <w:rPr>
          <w:rFonts w:ascii="Times New Roman" w:hAnsi="Times New Roman" w:cs="Times New Roman"/>
          <w:b w:val="0"/>
          <w:sz w:val="24"/>
          <w:szCs w:val="24"/>
        </w:rPr>
      </w:pPr>
      <w:r w:rsidRPr="006D4EF6">
        <w:rPr>
          <w:rFonts w:ascii="Times New Roman" w:hAnsi="Times New Roman" w:cs="Times New Roman"/>
          <w:b w:val="0"/>
          <w:sz w:val="24"/>
          <w:szCs w:val="24"/>
        </w:rPr>
        <w:t xml:space="preserve">Целью проекта, является доведение к 2024 году до 55% доли граждан, </w:t>
      </w:r>
      <w:r w:rsidRPr="006D4EF6">
        <w:rPr>
          <w:rFonts w:ascii="Times New Roman" w:hAnsi="Times New Roman" w:cs="Times New Roman"/>
          <w:b w:val="0"/>
          <w:sz w:val="24"/>
          <w:szCs w:val="24"/>
        </w:rPr>
        <w:lastRenderedPageBreak/>
        <w:t>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 xml:space="preserve">В связи с наличием проблемы недостаточности материально-технической базы для занятий физической культурой и спортом на территории городского округа Тольятти разработана муниципальная программа «Развитие физической культуры и спорта в городском округе Тольятти на 2017-2021 годы», одной из задач которой предусматривается строительство, реконструкция и капитальный ремонт спортивных объектов в прогнозном периоде. </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Учитывая проблему городского округа Тольятти с дефицитом бюджетных средств для планомерного строительства, ремонта и реконструкции спортивных сооружений, и принимая во внимание необходимость реализации приоритетных направлений отрасли по увеличению низкого уровня обеспеченности населения спортивными сооружениями подготовлены и направлены заявки в Министерство спорта Самарской области о софинансировании строительства на территории городского округа Тольятти спортивных объектов.</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Согласно поданным заявкам в государственную программу Самарской области «Развитие физической культуры и спорта в Самарской области на 2014-2020 годы» за счет средств областного и федерального бюджетов запланированы к реализации до 2020 года мероприятия по строительству следующих спортивных объектов:</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1.  Многофункциональные физкультурно-спортивные комплексы (2 ед.), так называемые «тройки» (бассейн, универсальный игровой зал, искусственный лед) в Комсомольском районе около речного порта и в п.</w:t>
      </w:r>
      <w:r>
        <w:rPr>
          <w:rFonts w:ascii="Times New Roman" w:hAnsi="Times New Roman"/>
          <w:sz w:val="24"/>
          <w:szCs w:val="24"/>
        </w:rPr>
        <w:t xml:space="preserve"> </w:t>
      </w:r>
      <w:r w:rsidRPr="006D4EF6">
        <w:rPr>
          <w:rFonts w:ascii="Times New Roman" w:hAnsi="Times New Roman"/>
          <w:sz w:val="24"/>
          <w:szCs w:val="24"/>
        </w:rPr>
        <w:t>Шлюзовой на пересечении улиц Шлюзовая и Железнодорожная, срок реализации 2018-2020 годы.</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2. Легкоатлетический манеж (круговая дорожка 200 метров) на стадионе «Торпедо», срок реализации 2018-2020 годы.</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3. Центр спортивной гимнастики «Немов-центр», срок реализации 2018-2020 годы в Автозаводском районе.</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4. Физкультурно-спортивные комплексы (2 ед.), так называемые «единички» (универсальный зал 36х18м и раздевалки с подсобными помещениями), срок реализации 2019-2020 годы:</w:t>
      </w:r>
    </w:p>
    <w:p w:rsidR="0023661F" w:rsidRPr="006D4EF6"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 физкультурно-спортивный комплекс в 21 квартале Автозаводского района для МБУДО СДЮСШОР № 7 «Акробат».</w:t>
      </w:r>
    </w:p>
    <w:p w:rsidR="0023661F" w:rsidRDefault="0023661F" w:rsidP="0023661F">
      <w:pPr>
        <w:pStyle w:val="aa"/>
        <w:shd w:val="clear" w:color="auto" w:fill="FFFBF0" w:themeFill="background1"/>
        <w:spacing w:before="0" w:after="0" w:line="276" w:lineRule="auto"/>
        <w:ind w:firstLine="709"/>
        <w:jc w:val="both"/>
      </w:pPr>
      <w:r w:rsidRPr="008007E4">
        <w:t>В прогнозном периоде предполагается рост уровня фактической обеспеченности населения объектами спорта от нормативной потребности: данный показатель к 2022 году достигнет значения 30,8</w:t>
      </w:r>
      <w:r w:rsidR="00F95F5F">
        <w:t>%</w:t>
      </w:r>
      <w:r w:rsidRPr="008007E4">
        <w:t xml:space="preserve"> и 31,2% по двум вариантам прогноза соответственно за счёт строительства универсальных спортивных площадок и пяти физкультурно-спортивных комплексов.</w:t>
      </w:r>
    </w:p>
    <w:p w:rsidR="0023661F" w:rsidRPr="00A5566C" w:rsidRDefault="0023661F" w:rsidP="0023661F">
      <w:pPr>
        <w:widowControl w:val="0"/>
        <w:spacing w:after="0"/>
        <w:ind w:firstLine="709"/>
        <w:jc w:val="both"/>
        <w:rPr>
          <w:rFonts w:ascii="Times New Roman" w:hAnsi="Times New Roman"/>
          <w:sz w:val="24"/>
          <w:szCs w:val="24"/>
        </w:rPr>
      </w:pPr>
      <w:r w:rsidRPr="00A5566C">
        <w:rPr>
          <w:rFonts w:ascii="Times New Roman" w:hAnsi="Times New Roman"/>
          <w:sz w:val="24"/>
          <w:szCs w:val="24"/>
        </w:rPr>
        <w:t>Корректировка показателя «</w:t>
      </w:r>
      <w:r>
        <w:rPr>
          <w:rFonts w:ascii="Times New Roman" w:hAnsi="Times New Roman"/>
          <w:sz w:val="24"/>
          <w:szCs w:val="24"/>
        </w:rPr>
        <w:t xml:space="preserve">Уровень фактической обеспеченности населения объектами спорта от нормативной численности» </w:t>
      </w:r>
      <w:r w:rsidRPr="00A5566C">
        <w:rPr>
          <w:rFonts w:ascii="Times New Roman" w:hAnsi="Times New Roman"/>
          <w:sz w:val="24"/>
          <w:szCs w:val="24"/>
        </w:rPr>
        <w:t>в сторону увеличения по сравнению с прошл</w:t>
      </w:r>
      <w:r>
        <w:rPr>
          <w:rFonts w:ascii="Times New Roman" w:hAnsi="Times New Roman"/>
          <w:sz w:val="24"/>
          <w:szCs w:val="24"/>
        </w:rPr>
        <w:t>огодними параметрами (на 0,8-0,9</w:t>
      </w:r>
      <w:r w:rsidRPr="00A5566C">
        <w:rPr>
          <w:rFonts w:ascii="Times New Roman" w:hAnsi="Times New Roman"/>
          <w:sz w:val="24"/>
          <w:szCs w:val="24"/>
        </w:rPr>
        <w:t> процентных пункта в 2020 и 2021 годах по базовому варианту) произведена на основании фактически сложившихся значений показат</w:t>
      </w:r>
      <w:r>
        <w:rPr>
          <w:rFonts w:ascii="Times New Roman" w:hAnsi="Times New Roman"/>
          <w:sz w:val="24"/>
          <w:szCs w:val="24"/>
        </w:rPr>
        <w:t xml:space="preserve">еля, </w:t>
      </w:r>
      <w:r w:rsidRPr="00A5566C">
        <w:rPr>
          <w:rFonts w:ascii="Times New Roman" w:hAnsi="Times New Roman"/>
          <w:sz w:val="24"/>
          <w:szCs w:val="24"/>
        </w:rPr>
        <w:t xml:space="preserve">а также ростом количества организаций, осуществляющих работу в сфере </w:t>
      </w:r>
      <w:r w:rsidRPr="00A5566C">
        <w:rPr>
          <w:rFonts w:ascii="Times New Roman" w:hAnsi="Times New Roman"/>
          <w:sz w:val="24"/>
          <w:szCs w:val="24"/>
        </w:rPr>
        <w:lastRenderedPageBreak/>
        <w:t xml:space="preserve">физической культуры и спорта. </w:t>
      </w:r>
    </w:p>
    <w:p w:rsidR="0023661F"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Наличие новых спортивных объектов и действующих объектов, приведенных в соответствие с современным требованиям в совокупности будет способствовать созданию сети спортивных клубов по месту жительства,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увеличения количества занимающихся среди инвалидов и соответственно позволит обеспечить рост показателей отрасли.</w:t>
      </w:r>
    </w:p>
    <w:p w:rsidR="0023661F" w:rsidRPr="008A5FFA" w:rsidRDefault="0023661F" w:rsidP="0023661F">
      <w:pPr>
        <w:widowControl w:val="0"/>
        <w:spacing w:after="0"/>
        <w:ind w:firstLine="709"/>
        <w:jc w:val="both"/>
        <w:rPr>
          <w:rFonts w:ascii="Times New Roman" w:hAnsi="Times New Roman"/>
          <w:sz w:val="24"/>
          <w:szCs w:val="24"/>
        </w:rPr>
      </w:pPr>
      <w:r w:rsidRPr="006D4EF6">
        <w:rPr>
          <w:rFonts w:ascii="Times New Roman" w:hAnsi="Times New Roman"/>
          <w:sz w:val="24"/>
          <w:szCs w:val="24"/>
        </w:rPr>
        <w:t>Таким образом, в прогнозном периоде предполагается увеличение доли населения, систематически занимающегося физической культурой и спортом. По оценке, данный показатель к 2022 году достигнет значения: 44,0% - по консервативному варианту, 48,4% - по б</w:t>
      </w:r>
      <w:r>
        <w:rPr>
          <w:rFonts w:ascii="Times New Roman" w:hAnsi="Times New Roman"/>
          <w:sz w:val="24"/>
          <w:szCs w:val="24"/>
        </w:rPr>
        <w:t>азовому варианту развития.</w:t>
      </w:r>
    </w:p>
    <w:p w:rsidR="0023661F" w:rsidRPr="00A5566C" w:rsidRDefault="0023661F" w:rsidP="0023661F">
      <w:pPr>
        <w:widowControl w:val="0"/>
        <w:spacing w:after="0"/>
        <w:ind w:firstLine="709"/>
        <w:jc w:val="both"/>
        <w:rPr>
          <w:rFonts w:ascii="Times New Roman" w:hAnsi="Times New Roman"/>
          <w:sz w:val="24"/>
          <w:szCs w:val="24"/>
        </w:rPr>
      </w:pPr>
      <w:r w:rsidRPr="00A5566C">
        <w:rPr>
          <w:rFonts w:ascii="Times New Roman" w:hAnsi="Times New Roman"/>
          <w:sz w:val="24"/>
          <w:szCs w:val="24"/>
        </w:rPr>
        <w:t>Корректировка показателя  «Доля населения, систематически занимающегося физической культурой и спортом  в сторону увеличения по сравнению с прошлогодними параметрами (на 3,8-5,6 процентных пункта в 2020 и 2021 годах по базовому варианту) произведена на основании фактически сложившихся значений показателя, а также в связи с предполагаемым рос</w:t>
      </w:r>
      <w:r>
        <w:rPr>
          <w:rFonts w:ascii="Times New Roman" w:hAnsi="Times New Roman"/>
          <w:sz w:val="24"/>
          <w:szCs w:val="24"/>
        </w:rPr>
        <w:t xml:space="preserve">том числа занимающихся и </w:t>
      </w:r>
      <w:r w:rsidRPr="00A5566C">
        <w:rPr>
          <w:rFonts w:ascii="Times New Roman" w:hAnsi="Times New Roman"/>
          <w:sz w:val="24"/>
          <w:szCs w:val="24"/>
        </w:rPr>
        <w:t xml:space="preserve">ростом количества организаций, осуществляющих работу в сфере физической культуры и спорта. </w:t>
      </w:r>
    </w:p>
    <w:p w:rsidR="0076667D" w:rsidRDefault="0076667D" w:rsidP="004272BD">
      <w:pPr>
        <w:widowControl w:val="0"/>
        <w:spacing w:after="0"/>
        <w:jc w:val="center"/>
        <w:rPr>
          <w:rFonts w:ascii="Times New Roman" w:hAnsi="Times New Roman"/>
          <w:b/>
          <w:sz w:val="24"/>
          <w:szCs w:val="24"/>
        </w:rPr>
      </w:pPr>
    </w:p>
    <w:p w:rsidR="00252845" w:rsidRDefault="00252845" w:rsidP="004272BD">
      <w:pPr>
        <w:widowControl w:val="0"/>
        <w:spacing w:after="0"/>
        <w:jc w:val="center"/>
        <w:rPr>
          <w:rFonts w:ascii="Times New Roman" w:hAnsi="Times New Roman"/>
          <w:b/>
          <w:sz w:val="24"/>
          <w:szCs w:val="24"/>
        </w:rPr>
      </w:pPr>
      <w:r w:rsidRPr="006D134F">
        <w:rPr>
          <w:rFonts w:ascii="Times New Roman" w:hAnsi="Times New Roman"/>
          <w:b/>
          <w:sz w:val="24"/>
          <w:szCs w:val="24"/>
        </w:rPr>
        <w:t>Потребительский рынок товаров</w:t>
      </w:r>
      <w:bookmarkStart w:id="10" w:name="потреб"/>
      <w:bookmarkEnd w:id="10"/>
    </w:p>
    <w:p w:rsidR="0006536E" w:rsidRDefault="0006536E" w:rsidP="004272BD">
      <w:pPr>
        <w:widowControl w:val="0"/>
        <w:spacing w:after="0"/>
        <w:jc w:val="center"/>
        <w:rPr>
          <w:rFonts w:ascii="Times New Roman" w:hAnsi="Times New Roman"/>
          <w:b/>
          <w:sz w:val="24"/>
          <w:szCs w:val="24"/>
        </w:rPr>
      </w:pPr>
    </w:p>
    <w:p w:rsidR="000B30A0" w:rsidRPr="006D134F" w:rsidRDefault="000B30A0" w:rsidP="006C40B8">
      <w:pPr>
        <w:suppressAutoHyphens/>
        <w:spacing w:after="0"/>
        <w:ind w:firstLine="709"/>
        <w:jc w:val="both"/>
        <w:rPr>
          <w:rFonts w:ascii="Times New Roman" w:hAnsi="Times New Roman"/>
          <w:sz w:val="24"/>
          <w:szCs w:val="24"/>
        </w:rPr>
      </w:pPr>
      <w:r w:rsidRPr="006D134F">
        <w:rPr>
          <w:rFonts w:ascii="Times New Roman" w:hAnsi="Times New Roman"/>
          <w:sz w:val="24"/>
          <w:szCs w:val="24"/>
        </w:rPr>
        <w:t xml:space="preserve">Состояние рынка потребительских товаров в прогнозном периоде будет характеризоваться </w:t>
      </w:r>
      <w:r w:rsidR="00FE123D" w:rsidRPr="006D134F">
        <w:rPr>
          <w:rFonts w:ascii="Times New Roman" w:hAnsi="Times New Roman"/>
          <w:sz w:val="24"/>
          <w:szCs w:val="24"/>
        </w:rPr>
        <w:t xml:space="preserve">уровнем </w:t>
      </w:r>
      <w:r w:rsidRPr="006D134F">
        <w:rPr>
          <w:rFonts w:ascii="Times New Roman" w:hAnsi="Times New Roman"/>
          <w:sz w:val="24"/>
          <w:szCs w:val="24"/>
        </w:rPr>
        <w:t>потребительск</w:t>
      </w:r>
      <w:r w:rsidR="00FE123D" w:rsidRPr="006D134F">
        <w:rPr>
          <w:rFonts w:ascii="Times New Roman" w:hAnsi="Times New Roman"/>
          <w:sz w:val="24"/>
          <w:szCs w:val="24"/>
        </w:rPr>
        <w:t>ого</w:t>
      </w:r>
      <w:r w:rsidRPr="006D134F">
        <w:rPr>
          <w:rFonts w:ascii="Times New Roman" w:hAnsi="Times New Roman"/>
          <w:sz w:val="24"/>
          <w:szCs w:val="24"/>
        </w:rPr>
        <w:t xml:space="preserve"> спрос</w:t>
      </w:r>
      <w:r w:rsidR="00FE123D" w:rsidRPr="006D134F">
        <w:rPr>
          <w:rFonts w:ascii="Times New Roman" w:hAnsi="Times New Roman"/>
          <w:sz w:val="24"/>
          <w:szCs w:val="24"/>
        </w:rPr>
        <w:t>а</w:t>
      </w:r>
      <w:r w:rsidRPr="006D134F">
        <w:rPr>
          <w:rFonts w:ascii="Times New Roman" w:hAnsi="Times New Roman"/>
          <w:sz w:val="24"/>
          <w:szCs w:val="24"/>
        </w:rPr>
        <w:t xml:space="preserve"> со стороны домашних хозяйств, основанным на динамике роста заработной платы, сохранении инфляции на достаточно низком уровне.</w:t>
      </w:r>
    </w:p>
    <w:p w:rsidR="006D134F" w:rsidRPr="006D134F" w:rsidRDefault="006D134F" w:rsidP="006C40B8">
      <w:pPr>
        <w:autoSpaceDE w:val="0"/>
        <w:autoSpaceDN w:val="0"/>
        <w:adjustRightInd w:val="0"/>
        <w:spacing w:after="0"/>
        <w:ind w:firstLine="709"/>
        <w:jc w:val="both"/>
        <w:rPr>
          <w:rFonts w:ascii="Times New Roman" w:hAnsi="Times New Roman"/>
          <w:sz w:val="24"/>
          <w:szCs w:val="24"/>
          <w:highlight w:val="yellow"/>
        </w:rPr>
      </w:pPr>
      <w:r w:rsidRPr="006D134F">
        <w:rPr>
          <w:rFonts w:ascii="Times New Roman" w:hAnsi="Times New Roman"/>
          <w:sz w:val="24"/>
          <w:szCs w:val="24"/>
        </w:rPr>
        <w:t>Консервативный вариант развития предусматривает сдержанную динамику потребительского спроса</w:t>
      </w:r>
      <w:r w:rsidR="0006536E">
        <w:rPr>
          <w:rFonts w:ascii="Times New Roman" w:hAnsi="Times New Roman"/>
          <w:sz w:val="24"/>
          <w:szCs w:val="24"/>
        </w:rPr>
        <w:t>, обусловленную</w:t>
      </w:r>
      <w:r w:rsidR="006C40B8">
        <w:rPr>
          <w:rFonts w:ascii="Times New Roman" w:hAnsi="Times New Roman"/>
          <w:sz w:val="24"/>
          <w:szCs w:val="24"/>
        </w:rPr>
        <w:t>,</w:t>
      </w:r>
      <w:r w:rsidR="0006536E">
        <w:rPr>
          <w:rFonts w:ascii="Times New Roman" w:hAnsi="Times New Roman"/>
          <w:sz w:val="24"/>
          <w:szCs w:val="24"/>
        </w:rPr>
        <w:t xml:space="preserve"> в том числе</w:t>
      </w:r>
      <w:r w:rsidR="006C40B8">
        <w:rPr>
          <w:rFonts w:ascii="Times New Roman" w:hAnsi="Times New Roman"/>
          <w:sz w:val="24"/>
          <w:szCs w:val="24"/>
        </w:rPr>
        <w:t xml:space="preserve">, </w:t>
      </w:r>
      <w:r w:rsidRPr="006D134F">
        <w:rPr>
          <w:rFonts w:ascii="Times New Roman" w:hAnsi="Times New Roman"/>
          <w:sz w:val="24"/>
          <w:szCs w:val="24"/>
        </w:rPr>
        <w:t>ожидаем</w:t>
      </w:r>
      <w:r w:rsidR="0006536E">
        <w:rPr>
          <w:rFonts w:ascii="Times New Roman" w:hAnsi="Times New Roman"/>
          <w:sz w:val="24"/>
          <w:szCs w:val="24"/>
        </w:rPr>
        <w:t>ым</w:t>
      </w:r>
      <w:r w:rsidRPr="006D134F">
        <w:rPr>
          <w:rFonts w:ascii="Times New Roman" w:hAnsi="Times New Roman"/>
          <w:sz w:val="24"/>
          <w:szCs w:val="24"/>
        </w:rPr>
        <w:t xml:space="preserve"> снижение</w:t>
      </w:r>
      <w:r w:rsidR="0006536E">
        <w:rPr>
          <w:rFonts w:ascii="Times New Roman" w:hAnsi="Times New Roman"/>
          <w:sz w:val="24"/>
          <w:szCs w:val="24"/>
        </w:rPr>
        <w:t>м</w:t>
      </w:r>
      <w:r w:rsidRPr="006D134F">
        <w:rPr>
          <w:rFonts w:ascii="Times New Roman" w:hAnsi="Times New Roman"/>
          <w:sz w:val="24"/>
          <w:szCs w:val="24"/>
        </w:rPr>
        <w:t xml:space="preserve"> численности населения города (в 2020 году численность населения по консервативному варианту снизится на 5,4 тыс. чел</w:t>
      </w:r>
      <w:r w:rsidR="005615F0">
        <w:rPr>
          <w:rFonts w:ascii="Times New Roman" w:hAnsi="Times New Roman"/>
          <w:sz w:val="24"/>
          <w:szCs w:val="24"/>
        </w:rPr>
        <w:t>овек</w:t>
      </w:r>
      <w:r w:rsidRPr="006D134F">
        <w:rPr>
          <w:rFonts w:ascii="Times New Roman" w:hAnsi="Times New Roman"/>
          <w:sz w:val="24"/>
          <w:szCs w:val="24"/>
        </w:rPr>
        <w:t xml:space="preserve"> к предыдущему году, в 2021 году – на 4,6 тыс. чел</w:t>
      </w:r>
      <w:r w:rsidR="005615F0">
        <w:rPr>
          <w:rFonts w:ascii="Times New Roman" w:hAnsi="Times New Roman"/>
          <w:sz w:val="24"/>
          <w:szCs w:val="24"/>
        </w:rPr>
        <w:t>овек</w:t>
      </w:r>
      <w:r w:rsidRPr="006D134F">
        <w:rPr>
          <w:rFonts w:ascii="Times New Roman" w:hAnsi="Times New Roman"/>
          <w:sz w:val="24"/>
          <w:szCs w:val="24"/>
        </w:rPr>
        <w:t>, в 2022 году – на 3,6 тыс. чел</w:t>
      </w:r>
      <w:r w:rsidR="005615F0">
        <w:rPr>
          <w:rFonts w:ascii="Times New Roman" w:hAnsi="Times New Roman"/>
          <w:sz w:val="24"/>
          <w:szCs w:val="24"/>
        </w:rPr>
        <w:t>овек</w:t>
      </w:r>
      <w:r w:rsidRPr="006D134F">
        <w:rPr>
          <w:rFonts w:ascii="Times New Roman" w:hAnsi="Times New Roman"/>
          <w:sz w:val="24"/>
          <w:szCs w:val="24"/>
        </w:rPr>
        <w:t>).  В итоге, в 2020 году оборот розничной торговли может составить 190 266,6 млн. руб</w:t>
      </w:r>
      <w:r w:rsidR="00357335">
        <w:rPr>
          <w:rFonts w:ascii="Times New Roman" w:hAnsi="Times New Roman"/>
          <w:sz w:val="24"/>
          <w:szCs w:val="24"/>
        </w:rPr>
        <w:t>лей</w:t>
      </w:r>
      <w:r w:rsidRPr="006D134F">
        <w:rPr>
          <w:rFonts w:ascii="Times New Roman" w:hAnsi="Times New Roman"/>
          <w:sz w:val="24"/>
          <w:szCs w:val="24"/>
        </w:rPr>
        <w:t xml:space="preserve"> (снижение в </w:t>
      </w:r>
      <w:r w:rsidR="006C40B8">
        <w:rPr>
          <w:rFonts w:ascii="Times New Roman" w:hAnsi="Times New Roman"/>
          <w:sz w:val="24"/>
          <w:szCs w:val="24"/>
        </w:rPr>
        <w:t>сопоставимых ценах</w:t>
      </w:r>
      <w:r w:rsidRPr="006D134F">
        <w:rPr>
          <w:rFonts w:ascii="Times New Roman" w:hAnsi="Times New Roman"/>
          <w:sz w:val="24"/>
          <w:szCs w:val="24"/>
        </w:rPr>
        <w:t xml:space="preserve"> к 2019 году </w:t>
      </w:r>
      <w:r w:rsidR="00FC1152">
        <w:rPr>
          <w:rFonts w:ascii="Times New Roman" w:hAnsi="Times New Roman"/>
          <w:sz w:val="24"/>
          <w:szCs w:val="24"/>
        </w:rPr>
        <w:t xml:space="preserve">на </w:t>
      </w:r>
      <w:r w:rsidRPr="006D134F">
        <w:rPr>
          <w:rFonts w:ascii="Times New Roman" w:hAnsi="Times New Roman"/>
          <w:sz w:val="24"/>
          <w:szCs w:val="24"/>
        </w:rPr>
        <w:t xml:space="preserve">1,6%). </w:t>
      </w:r>
    </w:p>
    <w:p w:rsidR="006D134F" w:rsidRPr="006D134F" w:rsidRDefault="006D134F" w:rsidP="006C40B8">
      <w:pPr>
        <w:suppressAutoHyphens/>
        <w:spacing w:after="0"/>
        <w:ind w:firstLine="720"/>
        <w:jc w:val="both"/>
        <w:rPr>
          <w:rFonts w:ascii="Times New Roman" w:hAnsi="Times New Roman"/>
          <w:sz w:val="24"/>
          <w:szCs w:val="24"/>
        </w:rPr>
      </w:pPr>
      <w:r w:rsidRPr="006D134F">
        <w:rPr>
          <w:rFonts w:ascii="Times New Roman" w:hAnsi="Times New Roman"/>
          <w:sz w:val="24"/>
          <w:szCs w:val="24"/>
        </w:rPr>
        <w:t xml:space="preserve">К концу 2022 года оборот розничной торговли снизится в сопоставимых ценах на 2,8% к 2019 году. При этом в действующих ценах рост показателя за тот же период времени составит 9,0%. </w:t>
      </w:r>
    </w:p>
    <w:p w:rsidR="006D134F" w:rsidRPr="006D134F" w:rsidRDefault="006D134F" w:rsidP="006C40B8">
      <w:pPr>
        <w:suppressAutoHyphens/>
        <w:spacing w:after="0"/>
        <w:ind w:firstLine="720"/>
        <w:jc w:val="both"/>
        <w:rPr>
          <w:rFonts w:ascii="Times New Roman" w:hAnsi="Times New Roman"/>
          <w:sz w:val="24"/>
          <w:szCs w:val="24"/>
        </w:rPr>
      </w:pPr>
      <w:r w:rsidRPr="006D134F">
        <w:rPr>
          <w:rFonts w:ascii="Times New Roman" w:hAnsi="Times New Roman"/>
          <w:sz w:val="24"/>
          <w:szCs w:val="24"/>
        </w:rPr>
        <w:t>В 2020–2022 годах по второму (базовому) варианту ожидаются умеренные темпы роста потребительского спроса на рынке товаров. Увеличению розничного товарооборота будет способствовать сокращение разрыва в уровнях сбережений и потребления. Кроме того, в условиях среднесрочной перспективы базовыми ценностями будут оставаться для потребителя ассортимент и привлекательная цена.</w:t>
      </w:r>
    </w:p>
    <w:p w:rsidR="006D134F" w:rsidRPr="006D134F" w:rsidRDefault="006D134F" w:rsidP="006C40B8">
      <w:pPr>
        <w:suppressAutoHyphens/>
        <w:spacing w:after="0"/>
        <w:ind w:firstLine="720"/>
        <w:jc w:val="both"/>
        <w:rPr>
          <w:rFonts w:ascii="Times New Roman" w:hAnsi="Times New Roman"/>
          <w:sz w:val="24"/>
          <w:szCs w:val="24"/>
        </w:rPr>
      </w:pPr>
      <w:r w:rsidRPr="006D134F">
        <w:rPr>
          <w:rFonts w:ascii="Times New Roman" w:hAnsi="Times New Roman"/>
          <w:sz w:val="24"/>
          <w:szCs w:val="24"/>
        </w:rPr>
        <w:t>В 2022 году рост оборота розничной торговли к 2019 году в действующих ценах составит около 20,1%</w:t>
      </w:r>
      <w:r w:rsidR="00FC1152">
        <w:rPr>
          <w:rFonts w:ascii="Times New Roman" w:hAnsi="Times New Roman"/>
          <w:sz w:val="24"/>
          <w:szCs w:val="24"/>
        </w:rPr>
        <w:t xml:space="preserve"> (7,4% - в сопоставимых ценах)</w:t>
      </w:r>
      <w:r w:rsidRPr="006D134F">
        <w:rPr>
          <w:rFonts w:ascii="Times New Roman" w:hAnsi="Times New Roman"/>
          <w:sz w:val="24"/>
          <w:szCs w:val="24"/>
        </w:rPr>
        <w:t>.</w:t>
      </w:r>
    </w:p>
    <w:p w:rsidR="006D134F" w:rsidRPr="006D134F" w:rsidRDefault="006D134F" w:rsidP="006C40B8">
      <w:pPr>
        <w:spacing w:after="0"/>
        <w:ind w:right="-1" w:firstLine="709"/>
        <w:jc w:val="both"/>
        <w:textAlignment w:val="top"/>
        <w:rPr>
          <w:rFonts w:ascii="Times New Roman" w:hAnsi="Times New Roman"/>
          <w:sz w:val="24"/>
          <w:szCs w:val="24"/>
        </w:rPr>
      </w:pPr>
      <w:r w:rsidRPr="006D134F">
        <w:rPr>
          <w:rFonts w:ascii="Times New Roman" w:hAnsi="Times New Roman"/>
          <w:sz w:val="24"/>
          <w:szCs w:val="24"/>
        </w:rPr>
        <w:t xml:space="preserve">В прогнозном периоде реализация мероприятий в сфере потребительского рынка будет осуществляться в рамках муниципальной программы «Развитие потребительского рынка в городском округе Тольятти на 2017–2021 гг.», утвержденной постановлением </w:t>
      </w:r>
      <w:r w:rsidRPr="006D134F">
        <w:rPr>
          <w:rFonts w:ascii="Times New Roman" w:hAnsi="Times New Roman"/>
          <w:sz w:val="24"/>
          <w:szCs w:val="24"/>
        </w:rPr>
        <w:lastRenderedPageBreak/>
        <w:t>мэрии от 21.10.2016 № 3307-п/1. В рамках данной Программы предусмотрено проведение мониторинга мелкорозничной торговли, размещенной на территории городского округа Тольятти, организация работы по вывозу незаконно размещенных объектов потребительского рынка и др.</w:t>
      </w:r>
    </w:p>
    <w:p w:rsidR="006D134F" w:rsidRPr="006D134F" w:rsidRDefault="006D134F" w:rsidP="006C40B8">
      <w:pPr>
        <w:spacing w:after="0"/>
        <w:ind w:right="-1" w:firstLine="709"/>
        <w:jc w:val="both"/>
        <w:textAlignment w:val="top"/>
        <w:rPr>
          <w:rFonts w:ascii="Times New Roman" w:hAnsi="Times New Roman"/>
          <w:sz w:val="24"/>
          <w:szCs w:val="24"/>
        </w:rPr>
      </w:pPr>
      <w:r w:rsidRPr="006D134F">
        <w:rPr>
          <w:rFonts w:ascii="Times New Roman" w:hAnsi="Times New Roman"/>
          <w:sz w:val="24"/>
          <w:szCs w:val="24"/>
        </w:rPr>
        <w:t xml:space="preserve">Кроме того, в целях развития потребительского рынка, поддержки местных товаропроизводителей, конкурентной среды, а также снижения и стабилизации цен на товары и услуги в прогнозном периоде планируется реализация следующих мероприятий: определение обеспеченности жителей городского округа Тольятти торговыми площадями, посадочными местами предприятий общественного питания и рабочими местами предприятий бытового обслуживания; мониторинг цен на отдельные виды социально значимых товаров;  развитие локальных сетей розничной торговли шаговой доступности и др. Также, с целью реализации продукции местных товаропроизводителей, в прогнозном периоде будет осуществляться ярмарочная торговля. </w:t>
      </w:r>
    </w:p>
    <w:p w:rsidR="006C40B8" w:rsidRDefault="006C40B8" w:rsidP="004272BD">
      <w:pPr>
        <w:widowControl w:val="0"/>
        <w:spacing w:after="0"/>
        <w:jc w:val="center"/>
        <w:rPr>
          <w:rFonts w:ascii="Times New Roman" w:hAnsi="Times New Roman"/>
          <w:b/>
          <w:sz w:val="24"/>
          <w:szCs w:val="24"/>
        </w:rPr>
      </w:pPr>
    </w:p>
    <w:p w:rsidR="00065A6A" w:rsidRDefault="00065A6A" w:rsidP="004272BD">
      <w:pPr>
        <w:widowControl w:val="0"/>
        <w:spacing w:after="0"/>
        <w:jc w:val="center"/>
        <w:rPr>
          <w:rFonts w:ascii="Times New Roman" w:hAnsi="Times New Roman"/>
          <w:b/>
          <w:sz w:val="24"/>
          <w:szCs w:val="24"/>
        </w:rPr>
      </w:pPr>
      <w:r w:rsidRPr="00360741">
        <w:rPr>
          <w:rFonts w:ascii="Times New Roman" w:hAnsi="Times New Roman"/>
          <w:b/>
          <w:sz w:val="24"/>
          <w:szCs w:val="24"/>
        </w:rPr>
        <w:t>Охрана окружающей среды</w:t>
      </w:r>
      <w:bookmarkStart w:id="11" w:name="экология"/>
      <w:bookmarkEnd w:id="11"/>
    </w:p>
    <w:p w:rsidR="006C40B8" w:rsidRDefault="006C40B8" w:rsidP="004272BD">
      <w:pPr>
        <w:widowControl w:val="0"/>
        <w:spacing w:after="0"/>
        <w:jc w:val="center"/>
        <w:rPr>
          <w:rFonts w:ascii="Times New Roman" w:hAnsi="Times New Roman"/>
          <w:b/>
          <w:sz w:val="24"/>
          <w:szCs w:val="24"/>
        </w:rPr>
      </w:pPr>
    </w:p>
    <w:p w:rsidR="0025726A" w:rsidRPr="00360741" w:rsidRDefault="0025726A" w:rsidP="00E11BE7">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В 20</w:t>
      </w:r>
      <w:r w:rsidR="00360741" w:rsidRPr="00360741">
        <w:rPr>
          <w:rFonts w:ascii="Times New Roman" w:hAnsi="Times New Roman"/>
          <w:sz w:val="24"/>
          <w:szCs w:val="24"/>
        </w:rPr>
        <w:t>20</w:t>
      </w:r>
      <w:r w:rsidRPr="00360741">
        <w:rPr>
          <w:rFonts w:ascii="Times New Roman" w:hAnsi="Times New Roman"/>
          <w:sz w:val="24"/>
          <w:szCs w:val="24"/>
        </w:rPr>
        <w:t xml:space="preserve"> – 202</w:t>
      </w:r>
      <w:r w:rsidR="00360741" w:rsidRPr="00360741">
        <w:rPr>
          <w:rFonts w:ascii="Times New Roman" w:hAnsi="Times New Roman"/>
          <w:sz w:val="24"/>
          <w:szCs w:val="24"/>
        </w:rPr>
        <w:t>2</w:t>
      </w:r>
      <w:r w:rsidRPr="00360741">
        <w:rPr>
          <w:rFonts w:ascii="Times New Roman" w:hAnsi="Times New Roman"/>
          <w:sz w:val="24"/>
          <w:szCs w:val="24"/>
        </w:rPr>
        <w:t xml:space="preserve"> годах окружающая среда города по-прежнему будет испытывать значительную антропогенную и техногенную нагрузку, связанную с высокой концентрацией крупных промышленных предприятий и функционированием транспортной системы.</w:t>
      </w:r>
    </w:p>
    <w:p w:rsidR="00BE15AF" w:rsidRPr="00360741" w:rsidRDefault="0025726A" w:rsidP="00E11BE7">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В прогнозном периоде уровень экологической безопасности будет зависеть от динамики развития экономики</w:t>
      </w:r>
      <w:r w:rsidR="00065A6A" w:rsidRPr="00360741">
        <w:rPr>
          <w:rFonts w:ascii="Times New Roman" w:hAnsi="Times New Roman"/>
          <w:sz w:val="24"/>
          <w:szCs w:val="24"/>
        </w:rPr>
        <w:t xml:space="preserve">, а также </w:t>
      </w:r>
      <w:r w:rsidR="00BE15AF" w:rsidRPr="00360741">
        <w:rPr>
          <w:rFonts w:ascii="Times New Roman" w:hAnsi="Times New Roman"/>
          <w:sz w:val="24"/>
          <w:szCs w:val="24"/>
        </w:rPr>
        <w:t xml:space="preserve">масштабами инвестирования в сферу охраны окружающей среды и рационального использования природных ресурсов. </w:t>
      </w:r>
    </w:p>
    <w:p w:rsidR="00360741"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Продолжится реализация мероприятий: </w:t>
      </w:r>
    </w:p>
    <w:p w:rsidR="00360741"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разработка проектной, сметной документации по рекультивации бывшей городской свалки промышленных и бытовых отходов Комсомольского района (южнее завода ОАО «АвтоВАЗАгрегат»);</w:t>
      </w:r>
    </w:p>
    <w:p w:rsidR="00360741"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разработка проектной, сметной документации по рекультивации вскрытой свалки инертных отходов, расположенной напротив 1-3 вставок АО «АВТОВАЗ».</w:t>
      </w:r>
    </w:p>
    <w:p w:rsidR="00360741"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Муниципальной программой «Охрана окружающей среды на территории городского округа Тольятти на 2017-2021 годы» в рамках задачи рекультивации полигона ТБО с. Узюково планируется продолжение реализации мероприятия: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 которое также запланировано в Государственной программе Самарской области «Охрана окружающей среды Самарской области на 2014 - 2020 годы», утвержденной Постановлением Правительства Самарской области от 27.11.2013 №668. </w:t>
      </w:r>
    </w:p>
    <w:p w:rsidR="00360741"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В рамках реализации  государственной программы Самарской области «Оздоровление Волги. Строительство и реконструкция (модернизация) очистных сооружений централизованных систем водоотведения» на 2019-2024 годы городской округ Тольятти участвует со следующими мероприятиями:</w:t>
      </w:r>
    </w:p>
    <w:p w:rsidR="004C74AE"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1. Строительство очистных сооружений АО «АВТОВАЗ» г.Тольятти. «Внеплощадочная канализация Автозаводского района. Очистные сооружения дождевых и производственных незагрязненных сточных вод, мощностью 102 тыс.м3/сут». Реализация мероприятия </w:t>
      </w:r>
      <w:r w:rsidR="004C74AE">
        <w:rPr>
          <w:rFonts w:ascii="Times New Roman" w:hAnsi="Times New Roman"/>
          <w:sz w:val="24"/>
          <w:szCs w:val="24"/>
        </w:rPr>
        <w:t xml:space="preserve">запланирована на </w:t>
      </w:r>
      <w:r w:rsidRPr="00360741">
        <w:rPr>
          <w:rFonts w:ascii="Times New Roman" w:hAnsi="Times New Roman"/>
          <w:sz w:val="24"/>
          <w:szCs w:val="24"/>
        </w:rPr>
        <w:t xml:space="preserve">2022-2024 гг. </w:t>
      </w:r>
    </w:p>
    <w:p w:rsidR="004C74AE"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lastRenderedPageBreak/>
        <w:t>2. Химические предприятия городского округа Тольятти. (Строительство 1-го этапа канализационных очистных сооружений ПАО «Куйбышев</w:t>
      </w:r>
      <w:r w:rsidR="005615F0">
        <w:rPr>
          <w:rFonts w:ascii="Times New Roman" w:hAnsi="Times New Roman"/>
          <w:sz w:val="24"/>
          <w:szCs w:val="24"/>
        </w:rPr>
        <w:t>А</w:t>
      </w:r>
      <w:r w:rsidRPr="00360741">
        <w:rPr>
          <w:rFonts w:ascii="Times New Roman" w:hAnsi="Times New Roman"/>
          <w:sz w:val="24"/>
          <w:szCs w:val="24"/>
        </w:rPr>
        <w:t xml:space="preserve">зот» смешанного потока сточных вод предприятий Северного промузла г. Тольятти в районе регулирующей ёмкости). Реализация мероприятия </w:t>
      </w:r>
      <w:r w:rsidR="004C74AE">
        <w:rPr>
          <w:rFonts w:ascii="Times New Roman" w:hAnsi="Times New Roman"/>
          <w:sz w:val="24"/>
          <w:szCs w:val="24"/>
        </w:rPr>
        <w:t xml:space="preserve">запланирована на </w:t>
      </w:r>
      <w:r w:rsidRPr="00360741">
        <w:rPr>
          <w:rFonts w:ascii="Times New Roman" w:hAnsi="Times New Roman"/>
          <w:sz w:val="24"/>
          <w:szCs w:val="24"/>
        </w:rPr>
        <w:t xml:space="preserve">2019-2020 гг. </w:t>
      </w:r>
    </w:p>
    <w:p w:rsidR="004C74AE"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3. Нефтехимические предприятия городского округа Тольятти. (Сокращение поступления загрязнённых сточных вод в водные объекты Волжского бассейна от ООО «СИБУР Тольятти»). Реализация мероприятия </w:t>
      </w:r>
      <w:r w:rsidR="004C74AE">
        <w:rPr>
          <w:rFonts w:ascii="Times New Roman" w:hAnsi="Times New Roman"/>
          <w:sz w:val="24"/>
          <w:szCs w:val="24"/>
        </w:rPr>
        <w:t xml:space="preserve">запланирована на </w:t>
      </w:r>
      <w:r w:rsidRPr="00360741">
        <w:rPr>
          <w:rFonts w:ascii="Times New Roman" w:hAnsi="Times New Roman"/>
          <w:sz w:val="24"/>
          <w:szCs w:val="24"/>
        </w:rPr>
        <w:t xml:space="preserve">2019-2024 гг. </w:t>
      </w:r>
    </w:p>
    <w:p w:rsidR="004C74AE"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4. Реконструкция биологических очистных сооружений канализации городского округа Тольятти (ООО «АВТОГРАД-ВОДОКАНАЛ»). Реализация мероприятия </w:t>
      </w:r>
      <w:r w:rsidR="004C74AE">
        <w:rPr>
          <w:rFonts w:ascii="Times New Roman" w:hAnsi="Times New Roman"/>
          <w:sz w:val="24"/>
          <w:szCs w:val="24"/>
        </w:rPr>
        <w:t xml:space="preserve">запланирована на </w:t>
      </w:r>
      <w:r w:rsidRPr="00360741">
        <w:rPr>
          <w:rFonts w:ascii="Times New Roman" w:hAnsi="Times New Roman"/>
          <w:sz w:val="24"/>
          <w:szCs w:val="24"/>
        </w:rPr>
        <w:t xml:space="preserve">2019-2023 гг. </w:t>
      </w:r>
    </w:p>
    <w:p w:rsidR="00EF2C24"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В рамках муниципальной программы «Охрана, защита и воспроизводство лесов, расположенных в границах городского округа Тольятти, на 2019-2023 годы», </w:t>
      </w:r>
      <w:r w:rsidR="004C74AE">
        <w:rPr>
          <w:rFonts w:ascii="Times New Roman" w:hAnsi="Times New Roman"/>
          <w:sz w:val="24"/>
          <w:szCs w:val="24"/>
        </w:rPr>
        <w:t>у</w:t>
      </w:r>
      <w:r w:rsidR="00EF2C24" w:rsidRPr="00360741">
        <w:rPr>
          <w:rFonts w:ascii="Times New Roman" w:hAnsi="Times New Roman"/>
          <w:sz w:val="24"/>
          <w:szCs w:val="24"/>
        </w:rPr>
        <w:t>читывая значительные площади лесов, выполняющих средообразующие, защитные, водоохранные и иные функции, положительно влияющие на состояние окружающей среды, в прогнозном периоде планируется продолжение проведения работ по охране, защите и воспроизводству лесов.</w:t>
      </w:r>
    </w:p>
    <w:p w:rsidR="00360741" w:rsidRPr="00360741" w:rsidRDefault="00360741" w:rsidP="00360741">
      <w:pPr>
        <w:widowControl w:val="0"/>
        <w:spacing w:after="0"/>
        <w:ind w:firstLine="709"/>
        <w:jc w:val="both"/>
        <w:textAlignment w:val="top"/>
        <w:rPr>
          <w:rFonts w:ascii="Times New Roman" w:hAnsi="Times New Roman"/>
          <w:sz w:val="24"/>
          <w:szCs w:val="24"/>
        </w:rPr>
      </w:pPr>
      <w:r w:rsidRPr="00360741">
        <w:rPr>
          <w:rFonts w:ascii="Times New Roman" w:hAnsi="Times New Roman"/>
          <w:sz w:val="24"/>
          <w:szCs w:val="24"/>
        </w:rPr>
        <w:t xml:space="preserve">При условии реализации консервативного варианта прогноза, вследствие реализации крупными промышленными предприятиями мероприятий, направленных на снижение негативного воздействия на окружающую среду, в 2020 - 2022 годах прогнозируется тенденция сохранения объемов вредных веществ, выбрасываемых в атмосферный воздух стационарными источниками загрязнения, на уровне 2018 </w:t>
      </w:r>
      <w:r w:rsidRPr="006C40B8">
        <w:rPr>
          <w:rFonts w:ascii="Times New Roman" w:hAnsi="Times New Roman"/>
          <w:sz w:val="24"/>
          <w:szCs w:val="24"/>
        </w:rPr>
        <w:t>года – 25,1</w:t>
      </w:r>
      <w:r w:rsidRPr="00360741">
        <w:rPr>
          <w:rFonts w:ascii="Times New Roman" w:hAnsi="Times New Roman"/>
          <w:sz w:val="24"/>
          <w:szCs w:val="24"/>
        </w:rPr>
        <w:t xml:space="preserve"> тыс.</w:t>
      </w:r>
      <w:r w:rsidR="004C74AE">
        <w:rPr>
          <w:rFonts w:ascii="Times New Roman" w:hAnsi="Times New Roman"/>
          <w:sz w:val="24"/>
          <w:szCs w:val="24"/>
        </w:rPr>
        <w:t xml:space="preserve"> </w:t>
      </w:r>
      <w:r w:rsidRPr="00360741">
        <w:rPr>
          <w:rFonts w:ascii="Times New Roman" w:hAnsi="Times New Roman"/>
          <w:sz w:val="24"/>
          <w:szCs w:val="24"/>
        </w:rPr>
        <w:t xml:space="preserve">тонн.  </w:t>
      </w:r>
    </w:p>
    <w:p w:rsidR="000F2637" w:rsidRPr="0096463D" w:rsidRDefault="00360741" w:rsidP="00360741">
      <w:pPr>
        <w:widowControl w:val="0"/>
        <w:spacing w:after="0"/>
        <w:ind w:firstLine="709"/>
        <w:jc w:val="both"/>
        <w:textAlignment w:val="top"/>
        <w:rPr>
          <w:rFonts w:ascii="Times New Roman" w:hAnsi="Times New Roman"/>
          <w:sz w:val="24"/>
          <w:szCs w:val="24"/>
          <w:highlight w:val="yellow"/>
        </w:rPr>
      </w:pPr>
      <w:r w:rsidRPr="00360741">
        <w:rPr>
          <w:rFonts w:ascii="Times New Roman" w:hAnsi="Times New Roman"/>
          <w:sz w:val="24"/>
          <w:szCs w:val="24"/>
        </w:rPr>
        <w:t>При условии реализации базового варианта прогноза, вследствие реализации крупными промышленными предприятиями мероприятий, направленных на снижение негативного воздействия на окружающую среду, в 2020 - 2022 годах прогнозируется тенденция незначительного снижения объемов вредных веществ, выбрасываемых в атмосферный воздух стационарными источниками загрязнения, по сравнению с 2019 годом.  В целом в 2022 году относительно 2019 года данный показатель может снизиться на 0,8 % до 24,8 тыс. тонн.</w:t>
      </w:r>
    </w:p>
    <w:p w:rsidR="0025726A" w:rsidRPr="0096463D" w:rsidRDefault="00360741" w:rsidP="00711989">
      <w:pPr>
        <w:widowControl w:val="0"/>
        <w:spacing w:after="0"/>
        <w:ind w:firstLine="709"/>
        <w:jc w:val="both"/>
        <w:textAlignment w:val="top"/>
        <w:rPr>
          <w:rFonts w:ascii="Times New Roman" w:hAnsi="Times New Roman"/>
          <w:sz w:val="24"/>
          <w:szCs w:val="24"/>
          <w:highlight w:val="yellow"/>
        </w:rPr>
      </w:pPr>
      <w:r w:rsidRPr="00360741">
        <w:rPr>
          <w:rFonts w:ascii="Times New Roman" w:hAnsi="Times New Roman"/>
          <w:sz w:val="24"/>
          <w:szCs w:val="24"/>
        </w:rPr>
        <w:t>Объем сброса загрязненных сточных вод в поверхностные водные объекты в 2022 году уменьшится относительно 2019 года по базовому варианту прогноза на 4</w:t>
      </w:r>
      <w:r w:rsidR="004C74AE">
        <w:rPr>
          <w:rFonts w:ascii="Times New Roman" w:hAnsi="Times New Roman"/>
          <w:sz w:val="24"/>
          <w:szCs w:val="24"/>
        </w:rPr>
        <w:t>,0</w:t>
      </w:r>
      <w:r w:rsidRPr="00360741">
        <w:rPr>
          <w:rFonts w:ascii="Times New Roman" w:hAnsi="Times New Roman"/>
          <w:sz w:val="24"/>
          <w:szCs w:val="24"/>
        </w:rPr>
        <w:t>% и составит 113 159,1 тыс.куб.м.</w:t>
      </w:r>
    </w:p>
    <w:p w:rsidR="0025726A" w:rsidRDefault="0025726A" w:rsidP="00711989">
      <w:pPr>
        <w:widowControl w:val="0"/>
        <w:spacing w:after="0"/>
        <w:ind w:firstLine="709"/>
        <w:jc w:val="both"/>
        <w:textAlignment w:val="top"/>
        <w:rPr>
          <w:rFonts w:ascii="Times New Roman" w:hAnsi="Times New Roman"/>
          <w:sz w:val="24"/>
          <w:szCs w:val="24"/>
          <w:highlight w:val="yellow"/>
        </w:rPr>
      </w:pPr>
    </w:p>
    <w:p w:rsidR="009E1072" w:rsidRDefault="009E1072" w:rsidP="008F1BFD">
      <w:pPr>
        <w:widowControl w:val="0"/>
        <w:spacing w:after="0"/>
        <w:ind w:firstLine="709"/>
        <w:jc w:val="both"/>
        <w:textAlignment w:val="top"/>
        <w:rPr>
          <w:rFonts w:ascii="Times New Roman" w:hAnsi="Times New Roman"/>
          <w:sz w:val="24"/>
          <w:szCs w:val="24"/>
          <w:highlight w:val="yellow"/>
        </w:rPr>
      </w:pPr>
      <w:r>
        <w:rPr>
          <w:rFonts w:ascii="Times New Roman" w:hAnsi="Times New Roman"/>
          <w:sz w:val="24"/>
          <w:szCs w:val="24"/>
        </w:rPr>
        <w:t xml:space="preserve">Таким образом, в прогнозном периоде ожидается </w:t>
      </w:r>
      <w:r w:rsidRPr="009E1072">
        <w:rPr>
          <w:rFonts w:ascii="Times New Roman" w:hAnsi="Times New Roman"/>
          <w:sz w:val="24"/>
          <w:szCs w:val="24"/>
        </w:rPr>
        <w:t>постепенное наращивание экономического потенциала городского округа Тольятти в условиях полномасштабной реализации на его территории национальных проектов.</w:t>
      </w:r>
    </w:p>
    <w:p w:rsidR="004C74AE" w:rsidRPr="009E1072" w:rsidRDefault="00FF5181" w:rsidP="008F1BFD">
      <w:pPr>
        <w:widowControl w:val="0"/>
        <w:spacing w:after="0"/>
        <w:ind w:firstLine="709"/>
        <w:jc w:val="both"/>
        <w:textAlignment w:val="top"/>
        <w:rPr>
          <w:rFonts w:ascii="Times New Roman" w:hAnsi="Times New Roman"/>
          <w:sz w:val="24"/>
          <w:szCs w:val="24"/>
        </w:rPr>
      </w:pPr>
      <w:r w:rsidRPr="009E1072">
        <w:rPr>
          <w:rFonts w:ascii="Times New Roman" w:hAnsi="Times New Roman"/>
          <w:sz w:val="24"/>
          <w:szCs w:val="24"/>
        </w:rPr>
        <w:t xml:space="preserve">Перспективному развитию </w:t>
      </w:r>
      <w:r w:rsidR="009E1072" w:rsidRPr="009E1072">
        <w:rPr>
          <w:rFonts w:ascii="Times New Roman" w:hAnsi="Times New Roman"/>
          <w:sz w:val="24"/>
          <w:szCs w:val="24"/>
        </w:rPr>
        <w:t>городского округа</w:t>
      </w:r>
      <w:r w:rsidRPr="009E1072">
        <w:rPr>
          <w:rFonts w:ascii="Times New Roman" w:hAnsi="Times New Roman"/>
          <w:sz w:val="24"/>
          <w:szCs w:val="24"/>
        </w:rPr>
        <w:t xml:space="preserve"> Тольятти будет способствовать </w:t>
      </w:r>
      <w:r w:rsidR="008F1BFD" w:rsidRPr="008F1BFD">
        <w:rPr>
          <w:rFonts w:ascii="Times New Roman" w:hAnsi="Times New Roman"/>
          <w:sz w:val="24"/>
          <w:szCs w:val="24"/>
        </w:rPr>
        <w:t>реализация Стратегии социально-экономического развития городского округа Тольятти на период до 2030 года, в  которой заданы траектории развития города, стратегические ориентиры, целевые показатели и пути их достижения</w:t>
      </w:r>
      <w:r w:rsidRPr="009E1072">
        <w:rPr>
          <w:rFonts w:ascii="Times New Roman" w:hAnsi="Times New Roman"/>
          <w:sz w:val="24"/>
          <w:szCs w:val="24"/>
        </w:rPr>
        <w:t>.</w:t>
      </w:r>
    </w:p>
    <w:p w:rsidR="009E1072" w:rsidRDefault="009E1072" w:rsidP="0085402B">
      <w:pPr>
        <w:suppressAutoHyphens/>
        <w:spacing w:after="0"/>
        <w:jc w:val="both"/>
        <w:outlineLvl w:val="0"/>
        <w:rPr>
          <w:rFonts w:ascii="Times New Roman" w:hAnsi="Times New Roman"/>
          <w:sz w:val="24"/>
          <w:szCs w:val="24"/>
        </w:rPr>
      </w:pPr>
    </w:p>
    <w:p w:rsidR="0024525F" w:rsidRPr="00360741" w:rsidRDefault="00360741" w:rsidP="0085402B">
      <w:pPr>
        <w:suppressAutoHyphens/>
        <w:spacing w:after="0"/>
        <w:jc w:val="both"/>
        <w:outlineLvl w:val="0"/>
        <w:rPr>
          <w:rFonts w:ascii="Times New Roman" w:hAnsi="Times New Roman"/>
          <w:sz w:val="24"/>
          <w:szCs w:val="24"/>
        </w:rPr>
      </w:pPr>
      <w:r w:rsidRPr="00360741">
        <w:rPr>
          <w:rFonts w:ascii="Times New Roman" w:hAnsi="Times New Roman"/>
          <w:sz w:val="24"/>
          <w:szCs w:val="24"/>
        </w:rPr>
        <w:t>Р</w:t>
      </w:r>
      <w:r w:rsidR="0024525F" w:rsidRPr="00360741">
        <w:rPr>
          <w:rFonts w:ascii="Times New Roman" w:hAnsi="Times New Roman"/>
          <w:sz w:val="24"/>
          <w:szCs w:val="24"/>
        </w:rPr>
        <w:t>уководител</w:t>
      </w:r>
      <w:r w:rsidRPr="00360741">
        <w:rPr>
          <w:rFonts w:ascii="Times New Roman" w:hAnsi="Times New Roman"/>
          <w:sz w:val="24"/>
          <w:szCs w:val="24"/>
        </w:rPr>
        <w:t>ь</w:t>
      </w:r>
      <w:r w:rsidR="00E34674" w:rsidRPr="00360741">
        <w:rPr>
          <w:rFonts w:ascii="Times New Roman" w:hAnsi="Times New Roman"/>
          <w:sz w:val="24"/>
          <w:szCs w:val="24"/>
        </w:rPr>
        <w:t xml:space="preserve"> </w:t>
      </w:r>
      <w:r w:rsidR="0024525F" w:rsidRPr="00360741">
        <w:rPr>
          <w:rFonts w:ascii="Times New Roman" w:hAnsi="Times New Roman"/>
          <w:sz w:val="24"/>
          <w:szCs w:val="24"/>
        </w:rPr>
        <w:t xml:space="preserve">департамента  </w:t>
      </w:r>
    </w:p>
    <w:p w:rsidR="0024525F" w:rsidRPr="004272BD" w:rsidRDefault="0024525F" w:rsidP="0085402B">
      <w:pPr>
        <w:suppressAutoHyphens/>
        <w:spacing w:after="0"/>
        <w:jc w:val="both"/>
        <w:outlineLvl w:val="0"/>
        <w:rPr>
          <w:rFonts w:ascii="Times New Roman" w:hAnsi="Times New Roman"/>
          <w:sz w:val="24"/>
          <w:szCs w:val="24"/>
        </w:rPr>
      </w:pPr>
      <w:r w:rsidRPr="00360741">
        <w:rPr>
          <w:rFonts w:ascii="Times New Roman" w:hAnsi="Times New Roman"/>
          <w:sz w:val="24"/>
          <w:szCs w:val="24"/>
        </w:rPr>
        <w:t>экономического развития</w:t>
      </w:r>
      <w:r w:rsidR="004A3EE1" w:rsidRPr="00360741">
        <w:rPr>
          <w:rFonts w:ascii="Times New Roman" w:hAnsi="Times New Roman"/>
          <w:sz w:val="24"/>
          <w:szCs w:val="24"/>
        </w:rPr>
        <w:t xml:space="preserve"> </w:t>
      </w:r>
      <w:r w:rsidR="00360741" w:rsidRPr="00360741">
        <w:rPr>
          <w:rFonts w:ascii="Times New Roman" w:hAnsi="Times New Roman"/>
          <w:sz w:val="24"/>
          <w:szCs w:val="24"/>
        </w:rPr>
        <w:t xml:space="preserve">                                                                              Д.Н. Терновский</w:t>
      </w:r>
      <w:r w:rsidRPr="004272BD">
        <w:rPr>
          <w:rFonts w:ascii="Times New Roman" w:hAnsi="Times New Roman"/>
          <w:sz w:val="24"/>
          <w:szCs w:val="24"/>
        </w:rPr>
        <w:t xml:space="preserve">            </w:t>
      </w:r>
      <w:r w:rsidR="00712688" w:rsidRPr="004272BD">
        <w:rPr>
          <w:rFonts w:ascii="Times New Roman" w:hAnsi="Times New Roman"/>
          <w:sz w:val="24"/>
          <w:szCs w:val="24"/>
        </w:rPr>
        <w:t xml:space="preserve">     </w:t>
      </w:r>
      <w:r w:rsidRPr="004272BD">
        <w:rPr>
          <w:rFonts w:ascii="Times New Roman" w:hAnsi="Times New Roman"/>
          <w:sz w:val="24"/>
          <w:szCs w:val="24"/>
        </w:rPr>
        <w:t xml:space="preserve">      </w:t>
      </w:r>
    </w:p>
    <w:p w:rsidR="0024525F" w:rsidRPr="004272BD" w:rsidRDefault="0024525F" w:rsidP="004272BD">
      <w:pPr>
        <w:suppressAutoHyphens/>
        <w:spacing w:after="0"/>
        <w:ind w:firstLine="709"/>
        <w:jc w:val="both"/>
        <w:outlineLvl w:val="0"/>
        <w:rPr>
          <w:rFonts w:ascii="Times New Roman" w:hAnsi="Times New Roman"/>
          <w:sz w:val="24"/>
          <w:szCs w:val="24"/>
        </w:rPr>
      </w:pPr>
    </w:p>
    <w:p w:rsidR="006509F3" w:rsidRPr="006C40B8" w:rsidRDefault="006C40B8" w:rsidP="006509F3">
      <w:pPr>
        <w:suppressAutoHyphens/>
        <w:spacing w:after="0"/>
        <w:jc w:val="both"/>
        <w:outlineLvl w:val="0"/>
        <w:rPr>
          <w:rFonts w:ascii="Times New Roman" w:hAnsi="Times New Roman"/>
        </w:rPr>
      </w:pPr>
      <w:r w:rsidRPr="006C40B8">
        <w:rPr>
          <w:rFonts w:ascii="Times New Roman" w:hAnsi="Times New Roman"/>
        </w:rPr>
        <w:t>Н.В.К</w:t>
      </w:r>
      <w:r w:rsidR="006509F3" w:rsidRPr="006C40B8">
        <w:rPr>
          <w:rFonts w:ascii="Times New Roman" w:hAnsi="Times New Roman"/>
        </w:rPr>
        <w:t>ончева</w:t>
      </w:r>
      <w:r>
        <w:rPr>
          <w:rFonts w:ascii="Times New Roman" w:hAnsi="Times New Roman"/>
        </w:rPr>
        <w:t>,</w:t>
      </w:r>
      <w:r w:rsidR="006509F3" w:rsidRPr="006C40B8">
        <w:rPr>
          <w:rFonts w:ascii="Times New Roman" w:hAnsi="Times New Roman"/>
        </w:rPr>
        <w:t>54-32-76</w:t>
      </w:r>
    </w:p>
    <w:sectPr w:rsidR="006509F3" w:rsidRPr="006C40B8" w:rsidSect="00986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79" w:rsidRDefault="005A7779" w:rsidP="006A2B6C">
      <w:pPr>
        <w:spacing w:after="0" w:line="240" w:lineRule="auto"/>
      </w:pPr>
      <w:r>
        <w:separator/>
      </w:r>
    </w:p>
  </w:endnote>
  <w:endnote w:type="continuationSeparator" w:id="0">
    <w:p w:rsidR="005A7779" w:rsidRDefault="005A7779" w:rsidP="006A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79" w:rsidRDefault="005A7779" w:rsidP="006A2B6C">
      <w:pPr>
        <w:spacing w:after="0" w:line="240" w:lineRule="auto"/>
      </w:pPr>
      <w:r>
        <w:separator/>
      </w:r>
    </w:p>
  </w:footnote>
  <w:footnote w:type="continuationSeparator" w:id="0">
    <w:p w:rsidR="005A7779" w:rsidRDefault="005A7779" w:rsidP="006A2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5F" w:rsidRDefault="00975A69">
    <w:pPr>
      <w:pStyle w:val="ab"/>
      <w:jc w:val="center"/>
    </w:pPr>
    <w:r>
      <w:fldChar w:fldCharType="begin"/>
    </w:r>
    <w:r w:rsidR="00F95F5F">
      <w:instrText xml:space="preserve"> PAGE   \* MERGEFORMAT </w:instrText>
    </w:r>
    <w:r>
      <w:fldChar w:fldCharType="separate"/>
    </w:r>
    <w:r w:rsidR="00C20FD0">
      <w:rPr>
        <w:noProof/>
      </w:rPr>
      <w:t>4</w:t>
    </w:r>
    <w:r>
      <w:rPr>
        <w:noProof/>
      </w:rPr>
      <w:fldChar w:fldCharType="end"/>
    </w:r>
  </w:p>
  <w:p w:rsidR="00F95F5F" w:rsidRDefault="00F95F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E0B9A6"/>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800"/>
        </w:tabs>
        <w:ind w:left="1800" w:hanging="360"/>
      </w:pPr>
      <w:rPr>
        <w:rFonts w:ascii="Symbol" w:hAnsi="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Symbol" w:hAnsi="Symbol"/>
      </w:rPr>
    </w:lvl>
    <w:lvl w:ilvl="8">
      <w:start w:val="1"/>
      <w:numFmt w:val="bullet"/>
      <w:lvlText w:val=""/>
      <w:lvlJc w:val="left"/>
      <w:pPr>
        <w:tabs>
          <w:tab w:val="num" w:pos="2880"/>
        </w:tabs>
        <w:ind w:left="2880" w:hanging="360"/>
      </w:pPr>
      <w:rPr>
        <w:rFonts w:ascii="Symbol" w:hAnsi="Symbol"/>
      </w:rPr>
    </w:lvl>
  </w:abstractNum>
  <w:abstractNum w:abstractNumId="5">
    <w:nsid w:val="060D4A64"/>
    <w:multiLevelType w:val="hybridMultilevel"/>
    <w:tmpl w:val="712C0DB0"/>
    <w:lvl w:ilvl="0" w:tplc="25E0736C">
      <w:start w:val="1"/>
      <w:numFmt w:val="bullet"/>
      <w:lvlText w:val=""/>
      <w:lvlJc w:val="left"/>
      <w:pPr>
        <w:ind w:left="21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466CD"/>
    <w:multiLevelType w:val="multilevel"/>
    <w:tmpl w:val="394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135C3"/>
    <w:multiLevelType w:val="hybridMultilevel"/>
    <w:tmpl w:val="D1FE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50AC0"/>
    <w:multiLevelType w:val="hybridMultilevel"/>
    <w:tmpl w:val="75245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4D7D72"/>
    <w:multiLevelType w:val="hybridMultilevel"/>
    <w:tmpl w:val="DC844AE8"/>
    <w:lvl w:ilvl="0" w:tplc="DE529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892534"/>
    <w:multiLevelType w:val="multilevel"/>
    <w:tmpl w:val="E230C6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9311A52"/>
    <w:multiLevelType w:val="hybridMultilevel"/>
    <w:tmpl w:val="E3D2A776"/>
    <w:lvl w:ilvl="0" w:tplc="8AD0F9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021A3C"/>
    <w:multiLevelType w:val="hybridMultilevel"/>
    <w:tmpl w:val="39FC001E"/>
    <w:lvl w:ilvl="0" w:tplc="FBBAD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90A6A"/>
    <w:multiLevelType w:val="hybridMultilevel"/>
    <w:tmpl w:val="77321C6E"/>
    <w:lvl w:ilvl="0" w:tplc="25E0736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6"/>
  </w:num>
  <w:num w:numId="7">
    <w:abstractNumId w:val="13"/>
  </w:num>
  <w:num w:numId="8">
    <w:abstractNumId w:val="14"/>
  </w:num>
  <w:num w:numId="9">
    <w:abstractNumId w:val="5"/>
  </w:num>
  <w:num w:numId="10">
    <w:abstractNumId w:val="9"/>
  </w:num>
  <w:num w:numId="11">
    <w:abstractNumId w:val="7"/>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CC"/>
    <w:rsid w:val="00000706"/>
    <w:rsid w:val="00000731"/>
    <w:rsid w:val="00000D0A"/>
    <w:rsid w:val="00010311"/>
    <w:rsid w:val="00010C3F"/>
    <w:rsid w:val="0001321B"/>
    <w:rsid w:val="0001396C"/>
    <w:rsid w:val="00014071"/>
    <w:rsid w:val="0001441B"/>
    <w:rsid w:val="00014A04"/>
    <w:rsid w:val="00014F6F"/>
    <w:rsid w:val="000152AF"/>
    <w:rsid w:val="0001569D"/>
    <w:rsid w:val="0001618C"/>
    <w:rsid w:val="000167FA"/>
    <w:rsid w:val="00016C04"/>
    <w:rsid w:val="00020589"/>
    <w:rsid w:val="00022B64"/>
    <w:rsid w:val="00023055"/>
    <w:rsid w:val="00030141"/>
    <w:rsid w:val="00032E66"/>
    <w:rsid w:val="00033143"/>
    <w:rsid w:val="000333BE"/>
    <w:rsid w:val="00033497"/>
    <w:rsid w:val="00034F15"/>
    <w:rsid w:val="00035369"/>
    <w:rsid w:val="00035910"/>
    <w:rsid w:val="0003614B"/>
    <w:rsid w:val="000362FD"/>
    <w:rsid w:val="00036FE9"/>
    <w:rsid w:val="00040D71"/>
    <w:rsid w:val="000410A0"/>
    <w:rsid w:val="000419B3"/>
    <w:rsid w:val="00044618"/>
    <w:rsid w:val="00045B43"/>
    <w:rsid w:val="00050F25"/>
    <w:rsid w:val="00054BAC"/>
    <w:rsid w:val="00056511"/>
    <w:rsid w:val="00056809"/>
    <w:rsid w:val="000578A8"/>
    <w:rsid w:val="00057D39"/>
    <w:rsid w:val="000600C4"/>
    <w:rsid w:val="0006536E"/>
    <w:rsid w:val="00065A6A"/>
    <w:rsid w:val="000660E7"/>
    <w:rsid w:val="0006782A"/>
    <w:rsid w:val="00070B7B"/>
    <w:rsid w:val="00074382"/>
    <w:rsid w:val="00074C58"/>
    <w:rsid w:val="00076B52"/>
    <w:rsid w:val="00080481"/>
    <w:rsid w:val="000812D2"/>
    <w:rsid w:val="000816D2"/>
    <w:rsid w:val="00081727"/>
    <w:rsid w:val="00083DA7"/>
    <w:rsid w:val="00084365"/>
    <w:rsid w:val="0008482D"/>
    <w:rsid w:val="000859C5"/>
    <w:rsid w:val="00087919"/>
    <w:rsid w:val="00087CED"/>
    <w:rsid w:val="0009076C"/>
    <w:rsid w:val="000947CA"/>
    <w:rsid w:val="00094FEB"/>
    <w:rsid w:val="000958AF"/>
    <w:rsid w:val="000A0CD3"/>
    <w:rsid w:val="000A1F9F"/>
    <w:rsid w:val="000A2D0C"/>
    <w:rsid w:val="000A40EA"/>
    <w:rsid w:val="000A4AC7"/>
    <w:rsid w:val="000A58F0"/>
    <w:rsid w:val="000A61B4"/>
    <w:rsid w:val="000A77DF"/>
    <w:rsid w:val="000B2870"/>
    <w:rsid w:val="000B2A5E"/>
    <w:rsid w:val="000B30A0"/>
    <w:rsid w:val="000B6A0B"/>
    <w:rsid w:val="000B7455"/>
    <w:rsid w:val="000B76AA"/>
    <w:rsid w:val="000C4212"/>
    <w:rsid w:val="000C4A6D"/>
    <w:rsid w:val="000C6BBA"/>
    <w:rsid w:val="000C71B4"/>
    <w:rsid w:val="000D3F3D"/>
    <w:rsid w:val="000D42FC"/>
    <w:rsid w:val="000D464B"/>
    <w:rsid w:val="000D4D5C"/>
    <w:rsid w:val="000D695D"/>
    <w:rsid w:val="000D7C91"/>
    <w:rsid w:val="000E1B4B"/>
    <w:rsid w:val="000E4D2C"/>
    <w:rsid w:val="000E5B3C"/>
    <w:rsid w:val="000E7440"/>
    <w:rsid w:val="000F1F19"/>
    <w:rsid w:val="000F2637"/>
    <w:rsid w:val="000F4009"/>
    <w:rsid w:val="000F536F"/>
    <w:rsid w:val="000F6D2C"/>
    <w:rsid w:val="000F750F"/>
    <w:rsid w:val="000F7FD4"/>
    <w:rsid w:val="001004AF"/>
    <w:rsid w:val="00101DD9"/>
    <w:rsid w:val="0010607D"/>
    <w:rsid w:val="00106C1E"/>
    <w:rsid w:val="00111B9D"/>
    <w:rsid w:val="00112CAB"/>
    <w:rsid w:val="00115B9C"/>
    <w:rsid w:val="0011685E"/>
    <w:rsid w:val="00116CA1"/>
    <w:rsid w:val="00116FB6"/>
    <w:rsid w:val="001223D0"/>
    <w:rsid w:val="001236DA"/>
    <w:rsid w:val="0012611C"/>
    <w:rsid w:val="00132ACF"/>
    <w:rsid w:val="001353DB"/>
    <w:rsid w:val="001372ED"/>
    <w:rsid w:val="00140148"/>
    <w:rsid w:val="0014020B"/>
    <w:rsid w:val="0014149C"/>
    <w:rsid w:val="00141853"/>
    <w:rsid w:val="00142D00"/>
    <w:rsid w:val="00144879"/>
    <w:rsid w:val="00145CB2"/>
    <w:rsid w:val="00147EE7"/>
    <w:rsid w:val="00151BA1"/>
    <w:rsid w:val="00155509"/>
    <w:rsid w:val="001560F0"/>
    <w:rsid w:val="00156A29"/>
    <w:rsid w:val="00160B3D"/>
    <w:rsid w:val="001615AB"/>
    <w:rsid w:val="001634A9"/>
    <w:rsid w:val="001640F5"/>
    <w:rsid w:val="00164A8A"/>
    <w:rsid w:val="00165567"/>
    <w:rsid w:val="001657ED"/>
    <w:rsid w:val="00166F3E"/>
    <w:rsid w:val="00172C5A"/>
    <w:rsid w:val="00174330"/>
    <w:rsid w:val="00177568"/>
    <w:rsid w:val="00180BC4"/>
    <w:rsid w:val="00180FCD"/>
    <w:rsid w:val="00181D4B"/>
    <w:rsid w:val="0018367D"/>
    <w:rsid w:val="001854E1"/>
    <w:rsid w:val="00190DE2"/>
    <w:rsid w:val="00190FF7"/>
    <w:rsid w:val="00191521"/>
    <w:rsid w:val="00196C14"/>
    <w:rsid w:val="001970B8"/>
    <w:rsid w:val="001A0FC9"/>
    <w:rsid w:val="001A22AE"/>
    <w:rsid w:val="001A71CC"/>
    <w:rsid w:val="001B1052"/>
    <w:rsid w:val="001B59A3"/>
    <w:rsid w:val="001B6E44"/>
    <w:rsid w:val="001B7108"/>
    <w:rsid w:val="001B723B"/>
    <w:rsid w:val="001C4E9F"/>
    <w:rsid w:val="001C6ACE"/>
    <w:rsid w:val="001D20CD"/>
    <w:rsid w:val="001D4299"/>
    <w:rsid w:val="001D46E2"/>
    <w:rsid w:val="001D7EEB"/>
    <w:rsid w:val="001E0E07"/>
    <w:rsid w:val="001E40D0"/>
    <w:rsid w:val="001F07A4"/>
    <w:rsid w:val="001F0DED"/>
    <w:rsid w:val="001F6782"/>
    <w:rsid w:val="001F7BA4"/>
    <w:rsid w:val="00200A87"/>
    <w:rsid w:val="0021011E"/>
    <w:rsid w:val="00212024"/>
    <w:rsid w:val="0021447B"/>
    <w:rsid w:val="0021512E"/>
    <w:rsid w:val="00216383"/>
    <w:rsid w:val="002163EF"/>
    <w:rsid w:val="00217814"/>
    <w:rsid w:val="00222B01"/>
    <w:rsid w:val="00223087"/>
    <w:rsid w:val="0022478E"/>
    <w:rsid w:val="00225096"/>
    <w:rsid w:val="002251FC"/>
    <w:rsid w:val="00226CBF"/>
    <w:rsid w:val="00227B8E"/>
    <w:rsid w:val="00234A20"/>
    <w:rsid w:val="0023661F"/>
    <w:rsid w:val="0023672B"/>
    <w:rsid w:val="002376F6"/>
    <w:rsid w:val="00237810"/>
    <w:rsid w:val="00240A72"/>
    <w:rsid w:val="0024199E"/>
    <w:rsid w:val="00241D05"/>
    <w:rsid w:val="002444A7"/>
    <w:rsid w:val="0024525F"/>
    <w:rsid w:val="00245C62"/>
    <w:rsid w:val="00246187"/>
    <w:rsid w:val="0024728E"/>
    <w:rsid w:val="002503DF"/>
    <w:rsid w:val="00251837"/>
    <w:rsid w:val="002520A8"/>
    <w:rsid w:val="00252845"/>
    <w:rsid w:val="00252EA7"/>
    <w:rsid w:val="00253A3F"/>
    <w:rsid w:val="00254406"/>
    <w:rsid w:val="00256164"/>
    <w:rsid w:val="0025726A"/>
    <w:rsid w:val="00261348"/>
    <w:rsid w:val="00261B7F"/>
    <w:rsid w:val="0026348F"/>
    <w:rsid w:val="002636A8"/>
    <w:rsid w:val="00271C9B"/>
    <w:rsid w:val="00273F98"/>
    <w:rsid w:val="00276E9D"/>
    <w:rsid w:val="00280E9F"/>
    <w:rsid w:val="00283D22"/>
    <w:rsid w:val="00285A48"/>
    <w:rsid w:val="00285FE4"/>
    <w:rsid w:val="00286325"/>
    <w:rsid w:val="002868BA"/>
    <w:rsid w:val="00287325"/>
    <w:rsid w:val="00290483"/>
    <w:rsid w:val="00291038"/>
    <w:rsid w:val="0029415A"/>
    <w:rsid w:val="00294B83"/>
    <w:rsid w:val="00295A22"/>
    <w:rsid w:val="002969CA"/>
    <w:rsid w:val="002A1449"/>
    <w:rsid w:val="002A2818"/>
    <w:rsid w:val="002A28F7"/>
    <w:rsid w:val="002A41DA"/>
    <w:rsid w:val="002B07F2"/>
    <w:rsid w:val="002B0F1F"/>
    <w:rsid w:val="002B4DA0"/>
    <w:rsid w:val="002B71DF"/>
    <w:rsid w:val="002B7CB9"/>
    <w:rsid w:val="002C1C8C"/>
    <w:rsid w:val="002C1F51"/>
    <w:rsid w:val="002C4510"/>
    <w:rsid w:val="002C4851"/>
    <w:rsid w:val="002C52D6"/>
    <w:rsid w:val="002C5D86"/>
    <w:rsid w:val="002C6321"/>
    <w:rsid w:val="002C69C4"/>
    <w:rsid w:val="002C6EFA"/>
    <w:rsid w:val="002C6F0A"/>
    <w:rsid w:val="002C7852"/>
    <w:rsid w:val="002C7FD3"/>
    <w:rsid w:val="002D4AD6"/>
    <w:rsid w:val="002D4C8D"/>
    <w:rsid w:val="002D5FE4"/>
    <w:rsid w:val="002D75DE"/>
    <w:rsid w:val="002D7E7E"/>
    <w:rsid w:val="002E4D89"/>
    <w:rsid w:val="002E7C86"/>
    <w:rsid w:val="002F1921"/>
    <w:rsid w:val="002F32E1"/>
    <w:rsid w:val="002F44E3"/>
    <w:rsid w:val="002F4C09"/>
    <w:rsid w:val="002F622E"/>
    <w:rsid w:val="003016D7"/>
    <w:rsid w:val="0030548E"/>
    <w:rsid w:val="00305CBB"/>
    <w:rsid w:val="00306CE0"/>
    <w:rsid w:val="0030726C"/>
    <w:rsid w:val="00307C91"/>
    <w:rsid w:val="00311DDD"/>
    <w:rsid w:val="0031233D"/>
    <w:rsid w:val="0031243F"/>
    <w:rsid w:val="003129EE"/>
    <w:rsid w:val="00313021"/>
    <w:rsid w:val="00313A2A"/>
    <w:rsid w:val="00315A34"/>
    <w:rsid w:val="00315B0C"/>
    <w:rsid w:val="00315DFD"/>
    <w:rsid w:val="00320D4C"/>
    <w:rsid w:val="00320DD7"/>
    <w:rsid w:val="00321233"/>
    <w:rsid w:val="00321E65"/>
    <w:rsid w:val="003245E7"/>
    <w:rsid w:val="003269B2"/>
    <w:rsid w:val="00333C33"/>
    <w:rsid w:val="00336F0B"/>
    <w:rsid w:val="003375AD"/>
    <w:rsid w:val="00337B99"/>
    <w:rsid w:val="00337EFA"/>
    <w:rsid w:val="00340CC6"/>
    <w:rsid w:val="00343217"/>
    <w:rsid w:val="00347B6E"/>
    <w:rsid w:val="00351831"/>
    <w:rsid w:val="00351F7D"/>
    <w:rsid w:val="00354DCD"/>
    <w:rsid w:val="00357335"/>
    <w:rsid w:val="00360741"/>
    <w:rsid w:val="00370923"/>
    <w:rsid w:val="0037720F"/>
    <w:rsid w:val="00377BFC"/>
    <w:rsid w:val="00381D2B"/>
    <w:rsid w:val="00383022"/>
    <w:rsid w:val="00383C2D"/>
    <w:rsid w:val="00385C0B"/>
    <w:rsid w:val="00386117"/>
    <w:rsid w:val="00387FA5"/>
    <w:rsid w:val="003923BE"/>
    <w:rsid w:val="003928DA"/>
    <w:rsid w:val="00392FC5"/>
    <w:rsid w:val="003935A6"/>
    <w:rsid w:val="003A07EE"/>
    <w:rsid w:val="003A0DA7"/>
    <w:rsid w:val="003A1850"/>
    <w:rsid w:val="003A1E26"/>
    <w:rsid w:val="003A1F9F"/>
    <w:rsid w:val="003A3C59"/>
    <w:rsid w:val="003A64EF"/>
    <w:rsid w:val="003A6894"/>
    <w:rsid w:val="003A6978"/>
    <w:rsid w:val="003A725F"/>
    <w:rsid w:val="003B0655"/>
    <w:rsid w:val="003B26A8"/>
    <w:rsid w:val="003B2D82"/>
    <w:rsid w:val="003B43D3"/>
    <w:rsid w:val="003B5792"/>
    <w:rsid w:val="003B678F"/>
    <w:rsid w:val="003B6B61"/>
    <w:rsid w:val="003B73CA"/>
    <w:rsid w:val="003C088D"/>
    <w:rsid w:val="003C0BBE"/>
    <w:rsid w:val="003C0F13"/>
    <w:rsid w:val="003C2D1F"/>
    <w:rsid w:val="003C4E94"/>
    <w:rsid w:val="003C4FB1"/>
    <w:rsid w:val="003C6607"/>
    <w:rsid w:val="003C7CBE"/>
    <w:rsid w:val="003D0E44"/>
    <w:rsid w:val="003D3198"/>
    <w:rsid w:val="003D516D"/>
    <w:rsid w:val="003D7120"/>
    <w:rsid w:val="003D7603"/>
    <w:rsid w:val="003E0380"/>
    <w:rsid w:val="003E0469"/>
    <w:rsid w:val="003E086B"/>
    <w:rsid w:val="003E1BBB"/>
    <w:rsid w:val="003E1E4B"/>
    <w:rsid w:val="003E507E"/>
    <w:rsid w:val="003E6FF9"/>
    <w:rsid w:val="003E72E8"/>
    <w:rsid w:val="003F168E"/>
    <w:rsid w:val="003F17E7"/>
    <w:rsid w:val="003F2086"/>
    <w:rsid w:val="003F316C"/>
    <w:rsid w:val="003F3209"/>
    <w:rsid w:val="003F5855"/>
    <w:rsid w:val="003F5875"/>
    <w:rsid w:val="004004C7"/>
    <w:rsid w:val="00400763"/>
    <w:rsid w:val="004007CE"/>
    <w:rsid w:val="0040228B"/>
    <w:rsid w:val="00404FEB"/>
    <w:rsid w:val="004069B4"/>
    <w:rsid w:val="004137F0"/>
    <w:rsid w:val="00415835"/>
    <w:rsid w:val="004158F0"/>
    <w:rsid w:val="00415947"/>
    <w:rsid w:val="00421297"/>
    <w:rsid w:val="00422CD9"/>
    <w:rsid w:val="00423013"/>
    <w:rsid w:val="0042594B"/>
    <w:rsid w:val="004272BD"/>
    <w:rsid w:val="00432232"/>
    <w:rsid w:val="004329A7"/>
    <w:rsid w:val="0043454E"/>
    <w:rsid w:val="00436911"/>
    <w:rsid w:val="004418F8"/>
    <w:rsid w:val="00442DC6"/>
    <w:rsid w:val="004434AA"/>
    <w:rsid w:val="00444943"/>
    <w:rsid w:val="00444E3C"/>
    <w:rsid w:val="00446E24"/>
    <w:rsid w:val="00451A21"/>
    <w:rsid w:val="00454053"/>
    <w:rsid w:val="00455B73"/>
    <w:rsid w:val="00461D48"/>
    <w:rsid w:val="00470F7E"/>
    <w:rsid w:val="00473F0A"/>
    <w:rsid w:val="00475D1C"/>
    <w:rsid w:val="004802DC"/>
    <w:rsid w:val="00480608"/>
    <w:rsid w:val="00480886"/>
    <w:rsid w:val="00483396"/>
    <w:rsid w:val="004837CC"/>
    <w:rsid w:val="00483AFA"/>
    <w:rsid w:val="0048516B"/>
    <w:rsid w:val="00486E2E"/>
    <w:rsid w:val="0048791D"/>
    <w:rsid w:val="004934A5"/>
    <w:rsid w:val="00493BF2"/>
    <w:rsid w:val="00495B23"/>
    <w:rsid w:val="004A1E95"/>
    <w:rsid w:val="004A351E"/>
    <w:rsid w:val="004A3EE1"/>
    <w:rsid w:val="004A44CC"/>
    <w:rsid w:val="004A7097"/>
    <w:rsid w:val="004A71C5"/>
    <w:rsid w:val="004B0DFC"/>
    <w:rsid w:val="004B2407"/>
    <w:rsid w:val="004B3000"/>
    <w:rsid w:val="004B4442"/>
    <w:rsid w:val="004B5BCA"/>
    <w:rsid w:val="004B6A4F"/>
    <w:rsid w:val="004B6AFE"/>
    <w:rsid w:val="004B779B"/>
    <w:rsid w:val="004C74AE"/>
    <w:rsid w:val="004D1A99"/>
    <w:rsid w:val="004D267B"/>
    <w:rsid w:val="004D2D61"/>
    <w:rsid w:val="004D2E3C"/>
    <w:rsid w:val="004D3B1B"/>
    <w:rsid w:val="004D4728"/>
    <w:rsid w:val="004D6020"/>
    <w:rsid w:val="004E0DB3"/>
    <w:rsid w:val="004E2233"/>
    <w:rsid w:val="004E2983"/>
    <w:rsid w:val="004E50F3"/>
    <w:rsid w:val="004E6999"/>
    <w:rsid w:val="004E7891"/>
    <w:rsid w:val="004F0A8C"/>
    <w:rsid w:val="004F1CB2"/>
    <w:rsid w:val="004F6493"/>
    <w:rsid w:val="00501038"/>
    <w:rsid w:val="0050363D"/>
    <w:rsid w:val="00503932"/>
    <w:rsid w:val="00505219"/>
    <w:rsid w:val="00506A8D"/>
    <w:rsid w:val="005103C5"/>
    <w:rsid w:val="0051162C"/>
    <w:rsid w:val="00512769"/>
    <w:rsid w:val="0051294B"/>
    <w:rsid w:val="005149C9"/>
    <w:rsid w:val="00514F79"/>
    <w:rsid w:val="00515EED"/>
    <w:rsid w:val="00516669"/>
    <w:rsid w:val="0051667B"/>
    <w:rsid w:val="00520251"/>
    <w:rsid w:val="005207FE"/>
    <w:rsid w:val="005246A5"/>
    <w:rsid w:val="0053388C"/>
    <w:rsid w:val="00533A5C"/>
    <w:rsid w:val="00533AA4"/>
    <w:rsid w:val="00533B55"/>
    <w:rsid w:val="00535C97"/>
    <w:rsid w:val="0053652E"/>
    <w:rsid w:val="005365B8"/>
    <w:rsid w:val="0053678F"/>
    <w:rsid w:val="00536DB9"/>
    <w:rsid w:val="005401B9"/>
    <w:rsid w:val="005407A5"/>
    <w:rsid w:val="00540F2D"/>
    <w:rsid w:val="005411E7"/>
    <w:rsid w:val="005442CE"/>
    <w:rsid w:val="005443F7"/>
    <w:rsid w:val="0054497E"/>
    <w:rsid w:val="00544D4F"/>
    <w:rsid w:val="00546B46"/>
    <w:rsid w:val="00546D5E"/>
    <w:rsid w:val="00551475"/>
    <w:rsid w:val="005534EA"/>
    <w:rsid w:val="0055699E"/>
    <w:rsid w:val="0055705E"/>
    <w:rsid w:val="00560422"/>
    <w:rsid w:val="005615F0"/>
    <w:rsid w:val="005628B5"/>
    <w:rsid w:val="00562AE7"/>
    <w:rsid w:val="005654CE"/>
    <w:rsid w:val="00567884"/>
    <w:rsid w:val="00567ABE"/>
    <w:rsid w:val="00567D8A"/>
    <w:rsid w:val="005701C6"/>
    <w:rsid w:val="005705FF"/>
    <w:rsid w:val="00572370"/>
    <w:rsid w:val="005730D3"/>
    <w:rsid w:val="005732A6"/>
    <w:rsid w:val="00577CE3"/>
    <w:rsid w:val="00582BBA"/>
    <w:rsid w:val="005840B6"/>
    <w:rsid w:val="00585212"/>
    <w:rsid w:val="00593040"/>
    <w:rsid w:val="0059357B"/>
    <w:rsid w:val="0059413E"/>
    <w:rsid w:val="005965CD"/>
    <w:rsid w:val="005A052E"/>
    <w:rsid w:val="005A0F67"/>
    <w:rsid w:val="005A2C56"/>
    <w:rsid w:val="005A2F91"/>
    <w:rsid w:val="005A3158"/>
    <w:rsid w:val="005A3768"/>
    <w:rsid w:val="005A522D"/>
    <w:rsid w:val="005A592C"/>
    <w:rsid w:val="005A6B4F"/>
    <w:rsid w:val="005A6EE9"/>
    <w:rsid w:val="005A76C9"/>
    <w:rsid w:val="005A7779"/>
    <w:rsid w:val="005B04D5"/>
    <w:rsid w:val="005B0C8A"/>
    <w:rsid w:val="005B1807"/>
    <w:rsid w:val="005B3E2C"/>
    <w:rsid w:val="005B48E5"/>
    <w:rsid w:val="005B5F3A"/>
    <w:rsid w:val="005C3A5C"/>
    <w:rsid w:val="005C3DCC"/>
    <w:rsid w:val="005C574C"/>
    <w:rsid w:val="005D0E8F"/>
    <w:rsid w:val="005D120E"/>
    <w:rsid w:val="005D12E1"/>
    <w:rsid w:val="005D1F98"/>
    <w:rsid w:val="005D226F"/>
    <w:rsid w:val="005D4697"/>
    <w:rsid w:val="005D5503"/>
    <w:rsid w:val="005D6058"/>
    <w:rsid w:val="005D6DAA"/>
    <w:rsid w:val="005E12A9"/>
    <w:rsid w:val="005E29F9"/>
    <w:rsid w:val="005E34A0"/>
    <w:rsid w:val="005E379A"/>
    <w:rsid w:val="005E62A7"/>
    <w:rsid w:val="005E6B91"/>
    <w:rsid w:val="005E6F22"/>
    <w:rsid w:val="005E72A3"/>
    <w:rsid w:val="005E7F5D"/>
    <w:rsid w:val="005F053C"/>
    <w:rsid w:val="005F158F"/>
    <w:rsid w:val="005F19ED"/>
    <w:rsid w:val="005F25EA"/>
    <w:rsid w:val="005F2FBC"/>
    <w:rsid w:val="005F2FCB"/>
    <w:rsid w:val="005F4740"/>
    <w:rsid w:val="005F48B6"/>
    <w:rsid w:val="005F7A3F"/>
    <w:rsid w:val="00601FD1"/>
    <w:rsid w:val="00603A53"/>
    <w:rsid w:val="00604385"/>
    <w:rsid w:val="00606B3B"/>
    <w:rsid w:val="00607417"/>
    <w:rsid w:val="00607621"/>
    <w:rsid w:val="0061039C"/>
    <w:rsid w:val="0062084E"/>
    <w:rsid w:val="00624AF0"/>
    <w:rsid w:val="0062585C"/>
    <w:rsid w:val="00626B20"/>
    <w:rsid w:val="00627E6E"/>
    <w:rsid w:val="00630BE5"/>
    <w:rsid w:val="00631054"/>
    <w:rsid w:val="00632B5F"/>
    <w:rsid w:val="006341DE"/>
    <w:rsid w:val="00634FC4"/>
    <w:rsid w:val="00635EA5"/>
    <w:rsid w:val="006366C5"/>
    <w:rsid w:val="006401F6"/>
    <w:rsid w:val="00640BB3"/>
    <w:rsid w:val="00641DCF"/>
    <w:rsid w:val="00642C11"/>
    <w:rsid w:val="006449DF"/>
    <w:rsid w:val="006509F3"/>
    <w:rsid w:val="00651FDF"/>
    <w:rsid w:val="006524E3"/>
    <w:rsid w:val="00654927"/>
    <w:rsid w:val="00661209"/>
    <w:rsid w:val="0066186E"/>
    <w:rsid w:val="0066359D"/>
    <w:rsid w:val="00666E10"/>
    <w:rsid w:val="006676B7"/>
    <w:rsid w:val="0067031C"/>
    <w:rsid w:val="006711B5"/>
    <w:rsid w:val="006727CC"/>
    <w:rsid w:val="00672C13"/>
    <w:rsid w:val="00675A55"/>
    <w:rsid w:val="00675DBC"/>
    <w:rsid w:val="00676613"/>
    <w:rsid w:val="0068063A"/>
    <w:rsid w:val="006814B1"/>
    <w:rsid w:val="006829EB"/>
    <w:rsid w:val="00690EAC"/>
    <w:rsid w:val="00692975"/>
    <w:rsid w:val="006936BD"/>
    <w:rsid w:val="006968E9"/>
    <w:rsid w:val="00696F98"/>
    <w:rsid w:val="00697473"/>
    <w:rsid w:val="006974A3"/>
    <w:rsid w:val="006A09F2"/>
    <w:rsid w:val="006A1E2F"/>
    <w:rsid w:val="006A2568"/>
    <w:rsid w:val="006A2B6C"/>
    <w:rsid w:val="006A30C9"/>
    <w:rsid w:val="006A4659"/>
    <w:rsid w:val="006A4A7A"/>
    <w:rsid w:val="006A5DED"/>
    <w:rsid w:val="006B12A3"/>
    <w:rsid w:val="006B1949"/>
    <w:rsid w:val="006B1CB6"/>
    <w:rsid w:val="006C1DD9"/>
    <w:rsid w:val="006C2640"/>
    <w:rsid w:val="006C2C16"/>
    <w:rsid w:val="006C366C"/>
    <w:rsid w:val="006C40B8"/>
    <w:rsid w:val="006C417B"/>
    <w:rsid w:val="006C5B03"/>
    <w:rsid w:val="006C61A9"/>
    <w:rsid w:val="006D03E3"/>
    <w:rsid w:val="006D134F"/>
    <w:rsid w:val="006D1C9D"/>
    <w:rsid w:val="006D51AC"/>
    <w:rsid w:val="006D60DB"/>
    <w:rsid w:val="006E0092"/>
    <w:rsid w:val="006E3D21"/>
    <w:rsid w:val="006F1450"/>
    <w:rsid w:val="006F35BD"/>
    <w:rsid w:val="006F4FBC"/>
    <w:rsid w:val="006F60B3"/>
    <w:rsid w:val="00705CD7"/>
    <w:rsid w:val="007112B2"/>
    <w:rsid w:val="00711989"/>
    <w:rsid w:val="00712688"/>
    <w:rsid w:val="00714C17"/>
    <w:rsid w:val="00723E27"/>
    <w:rsid w:val="0072697B"/>
    <w:rsid w:val="0073046F"/>
    <w:rsid w:val="00730526"/>
    <w:rsid w:val="00731516"/>
    <w:rsid w:val="007337C5"/>
    <w:rsid w:val="007355A9"/>
    <w:rsid w:val="00736EAF"/>
    <w:rsid w:val="00736F04"/>
    <w:rsid w:val="00737025"/>
    <w:rsid w:val="00740BF6"/>
    <w:rsid w:val="0074125C"/>
    <w:rsid w:val="00741856"/>
    <w:rsid w:val="0074314B"/>
    <w:rsid w:val="00743556"/>
    <w:rsid w:val="00744A4C"/>
    <w:rsid w:val="00744C9F"/>
    <w:rsid w:val="007451F5"/>
    <w:rsid w:val="00750F84"/>
    <w:rsid w:val="007515B7"/>
    <w:rsid w:val="007521BA"/>
    <w:rsid w:val="007530CB"/>
    <w:rsid w:val="007534B5"/>
    <w:rsid w:val="0075606D"/>
    <w:rsid w:val="00756937"/>
    <w:rsid w:val="00756FB0"/>
    <w:rsid w:val="00762CFA"/>
    <w:rsid w:val="00764992"/>
    <w:rsid w:val="00764AE4"/>
    <w:rsid w:val="0076667D"/>
    <w:rsid w:val="0076720B"/>
    <w:rsid w:val="00767931"/>
    <w:rsid w:val="00770679"/>
    <w:rsid w:val="00771B85"/>
    <w:rsid w:val="00772870"/>
    <w:rsid w:val="007750DD"/>
    <w:rsid w:val="00775583"/>
    <w:rsid w:val="0077736D"/>
    <w:rsid w:val="00780E67"/>
    <w:rsid w:val="00780E68"/>
    <w:rsid w:val="0078249B"/>
    <w:rsid w:val="00783278"/>
    <w:rsid w:val="00785774"/>
    <w:rsid w:val="00785820"/>
    <w:rsid w:val="00787E67"/>
    <w:rsid w:val="00791401"/>
    <w:rsid w:val="00793E3C"/>
    <w:rsid w:val="00794A68"/>
    <w:rsid w:val="007A103A"/>
    <w:rsid w:val="007A1901"/>
    <w:rsid w:val="007A246D"/>
    <w:rsid w:val="007A2DE6"/>
    <w:rsid w:val="007A6F0C"/>
    <w:rsid w:val="007B09D6"/>
    <w:rsid w:val="007B1590"/>
    <w:rsid w:val="007B1D4E"/>
    <w:rsid w:val="007B4112"/>
    <w:rsid w:val="007B5FDE"/>
    <w:rsid w:val="007B645A"/>
    <w:rsid w:val="007B6BE5"/>
    <w:rsid w:val="007C0608"/>
    <w:rsid w:val="007C0AAC"/>
    <w:rsid w:val="007C1E74"/>
    <w:rsid w:val="007C2212"/>
    <w:rsid w:val="007C26B6"/>
    <w:rsid w:val="007C34DE"/>
    <w:rsid w:val="007C54E2"/>
    <w:rsid w:val="007C5D6A"/>
    <w:rsid w:val="007D0DFE"/>
    <w:rsid w:val="007D190C"/>
    <w:rsid w:val="007D31E0"/>
    <w:rsid w:val="007D5F53"/>
    <w:rsid w:val="007E3F05"/>
    <w:rsid w:val="007E6D29"/>
    <w:rsid w:val="007E7241"/>
    <w:rsid w:val="007F061B"/>
    <w:rsid w:val="007F11A5"/>
    <w:rsid w:val="007F21F1"/>
    <w:rsid w:val="007F36E8"/>
    <w:rsid w:val="00801AC5"/>
    <w:rsid w:val="0080770F"/>
    <w:rsid w:val="00807B31"/>
    <w:rsid w:val="00807D3F"/>
    <w:rsid w:val="008104F7"/>
    <w:rsid w:val="00814216"/>
    <w:rsid w:val="00816850"/>
    <w:rsid w:val="00823772"/>
    <w:rsid w:val="00831256"/>
    <w:rsid w:val="00831332"/>
    <w:rsid w:val="008320B9"/>
    <w:rsid w:val="00832BFD"/>
    <w:rsid w:val="008333F5"/>
    <w:rsid w:val="00837244"/>
    <w:rsid w:val="00837DD4"/>
    <w:rsid w:val="0084030B"/>
    <w:rsid w:val="00841776"/>
    <w:rsid w:val="00844F74"/>
    <w:rsid w:val="008454B0"/>
    <w:rsid w:val="00846672"/>
    <w:rsid w:val="0085114C"/>
    <w:rsid w:val="0085118A"/>
    <w:rsid w:val="00851204"/>
    <w:rsid w:val="00852A87"/>
    <w:rsid w:val="008530B5"/>
    <w:rsid w:val="00853920"/>
    <w:rsid w:val="00853BB8"/>
    <w:rsid w:val="0085402B"/>
    <w:rsid w:val="00857217"/>
    <w:rsid w:val="00861140"/>
    <w:rsid w:val="008619F6"/>
    <w:rsid w:val="00862390"/>
    <w:rsid w:val="00862692"/>
    <w:rsid w:val="008628A8"/>
    <w:rsid w:val="00862AC8"/>
    <w:rsid w:val="00864BE7"/>
    <w:rsid w:val="008679C4"/>
    <w:rsid w:val="008722CE"/>
    <w:rsid w:val="00873656"/>
    <w:rsid w:val="008801CA"/>
    <w:rsid w:val="00880930"/>
    <w:rsid w:val="00880F51"/>
    <w:rsid w:val="00881183"/>
    <w:rsid w:val="00881423"/>
    <w:rsid w:val="008815CC"/>
    <w:rsid w:val="00883921"/>
    <w:rsid w:val="00884DDE"/>
    <w:rsid w:val="00891823"/>
    <w:rsid w:val="00892CF6"/>
    <w:rsid w:val="00896FBE"/>
    <w:rsid w:val="0089746E"/>
    <w:rsid w:val="0089746F"/>
    <w:rsid w:val="008A2E77"/>
    <w:rsid w:val="008A758B"/>
    <w:rsid w:val="008A7B75"/>
    <w:rsid w:val="008B0895"/>
    <w:rsid w:val="008B1891"/>
    <w:rsid w:val="008B21A3"/>
    <w:rsid w:val="008B2315"/>
    <w:rsid w:val="008B27B8"/>
    <w:rsid w:val="008B3D0B"/>
    <w:rsid w:val="008B4686"/>
    <w:rsid w:val="008B7788"/>
    <w:rsid w:val="008C0990"/>
    <w:rsid w:val="008C2695"/>
    <w:rsid w:val="008C6376"/>
    <w:rsid w:val="008D0A73"/>
    <w:rsid w:val="008D0ACD"/>
    <w:rsid w:val="008D117D"/>
    <w:rsid w:val="008D22E5"/>
    <w:rsid w:val="008D399F"/>
    <w:rsid w:val="008D5FB0"/>
    <w:rsid w:val="008D67BA"/>
    <w:rsid w:val="008E0250"/>
    <w:rsid w:val="008E1BB0"/>
    <w:rsid w:val="008E1CE1"/>
    <w:rsid w:val="008E1DC4"/>
    <w:rsid w:val="008E39CF"/>
    <w:rsid w:val="008E3B10"/>
    <w:rsid w:val="008E4122"/>
    <w:rsid w:val="008E4172"/>
    <w:rsid w:val="008E4180"/>
    <w:rsid w:val="008E7F7A"/>
    <w:rsid w:val="008F0502"/>
    <w:rsid w:val="008F1BFD"/>
    <w:rsid w:val="008F5832"/>
    <w:rsid w:val="00900AD6"/>
    <w:rsid w:val="00901B0A"/>
    <w:rsid w:val="00902642"/>
    <w:rsid w:val="00903662"/>
    <w:rsid w:val="009038C1"/>
    <w:rsid w:val="00903988"/>
    <w:rsid w:val="00906AC9"/>
    <w:rsid w:val="009104E6"/>
    <w:rsid w:val="00910A9F"/>
    <w:rsid w:val="00910BD5"/>
    <w:rsid w:val="009154B8"/>
    <w:rsid w:val="00915FFC"/>
    <w:rsid w:val="00916EB2"/>
    <w:rsid w:val="0091784F"/>
    <w:rsid w:val="00917F07"/>
    <w:rsid w:val="00920489"/>
    <w:rsid w:val="009215F5"/>
    <w:rsid w:val="00923514"/>
    <w:rsid w:val="009235A6"/>
    <w:rsid w:val="0092503B"/>
    <w:rsid w:val="0092640E"/>
    <w:rsid w:val="00926583"/>
    <w:rsid w:val="00926BFD"/>
    <w:rsid w:val="0093063D"/>
    <w:rsid w:val="00932050"/>
    <w:rsid w:val="009325A3"/>
    <w:rsid w:val="009334E3"/>
    <w:rsid w:val="0093424D"/>
    <w:rsid w:val="00937E5F"/>
    <w:rsid w:val="00941D25"/>
    <w:rsid w:val="009447B8"/>
    <w:rsid w:val="009453E2"/>
    <w:rsid w:val="00953150"/>
    <w:rsid w:val="00953C91"/>
    <w:rsid w:val="00955FBB"/>
    <w:rsid w:val="00957642"/>
    <w:rsid w:val="009614A2"/>
    <w:rsid w:val="00963737"/>
    <w:rsid w:val="0096463D"/>
    <w:rsid w:val="009653D7"/>
    <w:rsid w:val="0096649B"/>
    <w:rsid w:val="00966BC2"/>
    <w:rsid w:val="00966C83"/>
    <w:rsid w:val="009670A3"/>
    <w:rsid w:val="00970066"/>
    <w:rsid w:val="0097242C"/>
    <w:rsid w:val="009726C3"/>
    <w:rsid w:val="00975A69"/>
    <w:rsid w:val="00981781"/>
    <w:rsid w:val="00986F93"/>
    <w:rsid w:val="0098717C"/>
    <w:rsid w:val="009873C4"/>
    <w:rsid w:val="00987F07"/>
    <w:rsid w:val="009926D3"/>
    <w:rsid w:val="00994E70"/>
    <w:rsid w:val="009955B3"/>
    <w:rsid w:val="009960A3"/>
    <w:rsid w:val="00996C41"/>
    <w:rsid w:val="00997412"/>
    <w:rsid w:val="009A4F3B"/>
    <w:rsid w:val="009A6958"/>
    <w:rsid w:val="009B1165"/>
    <w:rsid w:val="009B16F6"/>
    <w:rsid w:val="009B4CF0"/>
    <w:rsid w:val="009B67B7"/>
    <w:rsid w:val="009C4138"/>
    <w:rsid w:val="009C43E8"/>
    <w:rsid w:val="009C4424"/>
    <w:rsid w:val="009C4B80"/>
    <w:rsid w:val="009C4CEF"/>
    <w:rsid w:val="009D515F"/>
    <w:rsid w:val="009D5C0B"/>
    <w:rsid w:val="009D5C3A"/>
    <w:rsid w:val="009D6364"/>
    <w:rsid w:val="009E0C0F"/>
    <w:rsid w:val="009E1072"/>
    <w:rsid w:val="009E2CF7"/>
    <w:rsid w:val="009E2E5D"/>
    <w:rsid w:val="009E5751"/>
    <w:rsid w:val="009E6774"/>
    <w:rsid w:val="009E7FEE"/>
    <w:rsid w:val="009F2C67"/>
    <w:rsid w:val="009F367D"/>
    <w:rsid w:val="009F3FFD"/>
    <w:rsid w:val="009F49DC"/>
    <w:rsid w:val="009F51FA"/>
    <w:rsid w:val="00A00CE8"/>
    <w:rsid w:val="00A017C2"/>
    <w:rsid w:val="00A02466"/>
    <w:rsid w:val="00A02846"/>
    <w:rsid w:val="00A048CE"/>
    <w:rsid w:val="00A057B5"/>
    <w:rsid w:val="00A11A7D"/>
    <w:rsid w:val="00A13A79"/>
    <w:rsid w:val="00A17591"/>
    <w:rsid w:val="00A175F4"/>
    <w:rsid w:val="00A21870"/>
    <w:rsid w:val="00A21D32"/>
    <w:rsid w:val="00A22C48"/>
    <w:rsid w:val="00A230A0"/>
    <w:rsid w:val="00A25775"/>
    <w:rsid w:val="00A26478"/>
    <w:rsid w:val="00A27758"/>
    <w:rsid w:val="00A32FB8"/>
    <w:rsid w:val="00A33693"/>
    <w:rsid w:val="00A339A1"/>
    <w:rsid w:val="00A33F07"/>
    <w:rsid w:val="00A34A08"/>
    <w:rsid w:val="00A35A66"/>
    <w:rsid w:val="00A3659D"/>
    <w:rsid w:val="00A36ACF"/>
    <w:rsid w:val="00A42CE3"/>
    <w:rsid w:val="00A44A1E"/>
    <w:rsid w:val="00A458E2"/>
    <w:rsid w:val="00A45BEC"/>
    <w:rsid w:val="00A45CF9"/>
    <w:rsid w:val="00A47B5D"/>
    <w:rsid w:val="00A503C4"/>
    <w:rsid w:val="00A50BA1"/>
    <w:rsid w:val="00A51234"/>
    <w:rsid w:val="00A52ECA"/>
    <w:rsid w:val="00A54AFF"/>
    <w:rsid w:val="00A56915"/>
    <w:rsid w:val="00A62352"/>
    <w:rsid w:val="00A62F48"/>
    <w:rsid w:val="00A63956"/>
    <w:rsid w:val="00A704CC"/>
    <w:rsid w:val="00A7111E"/>
    <w:rsid w:val="00A743F2"/>
    <w:rsid w:val="00A75737"/>
    <w:rsid w:val="00A77011"/>
    <w:rsid w:val="00A81B2A"/>
    <w:rsid w:val="00A826A2"/>
    <w:rsid w:val="00A82837"/>
    <w:rsid w:val="00A8386A"/>
    <w:rsid w:val="00A84226"/>
    <w:rsid w:val="00A84723"/>
    <w:rsid w:val="00A847E3"/>
    <w:rsid w:val="00A85C70"/>
    <w:rsid w:val="00A85F71"/>
    <w:rsid w:val="00A868C0"/>
    <w:rsid w:val="00A86B29"/>
    <w:rsid w:val="00A90800"/>
    <w:rsid w:val="00A90A09"/>
    <w:rsid w:val="00A9173C"/>
    <w:rsid w:val="00A921F9"/>
    <w:rsid w:val="00A95307"/>
    <w:rsid w:val="00A95E97"/>
    <w:rsid w:val="00A96555"/>
    <w:rsid w:val="00AA35B2"/>
    <w:rsid w:val="00AA687A"/>
    <w:rsid w:val="00AB25C5"/>
    <w:rsid w:val="00AB37E1"/>
    <w:rsid w:val="00AB3BC9"/>
    <w:rsid w:val="00AB7EFF"/>
    <w:rsid w:val="00AC06D9"/>
    <w:rsid w:val="00AC40C5"/>
    <w:rsid w:val="00AD0CFB"/>
    <w:rsid w:val="00AD53E2"/>
    <w:rsid w:val="00AE155F"/>
    <w:rsid w:val="00AE17FE"/>
    <w:rsid w:val="00AE5C17"/>
    <w:rsid w:val="00AF0A66"/>
    <w:rsid w:val="00AF6D41"/>
    <w:rsid w:val="00B055C2"/>
    <w:rsid w:val="00B05919"/>
    <w:rsid w:val="00B05E50"/>
    <w:rsid w:val="00B06765"/>
    <w:rsid w:val="00B07424"/>
    <w:rsid w:val="00B07658"/>
    <w:rsid w:val="00B07681"/>
    <w:rsid w:val="00B1101F"/>
    <w:rsid w:val="00B11F29"/>
    <w:rsid w:val="00B1386F"/>
    <w:rsid w:val="00B144C2"/>
    <w:rsid w:val="00B16DD1"/>
    <w:rsid w:val="00B17409"/>
    <w:rsid w:val="00B2013C"/>
    <w:rsid w:val="00B2167F"/>
    <w:rsid w:val="00B22BD3"/>
    <w:rsid w:val="00B23096"/>
    <w:rsid w:val="00B23509"/>
    <w:rsid w:val="00B235BE"/>
    <w:rsid w:val="00B24CD9"/>
    <w:rsid w:val="00B25F2B"/>
    <w:rsid w:val="00B3084C"/>
    <w:rsid w:val="00B314D3"/>
    <w:rsid w:val="00B31A94"/>
    <w:rsid w:val="00B332B6"/>
    <w:rsid w:val="00B350D9"/>
    <w:rsid w:val="00B35559"/>
    <w:rsid w:val="00B36E07"/>
    <w:rsid w:val="00B40085"/>
    <w:rsid w:val="00B4200D"/>
    <w:rsid w:val="00B42F13"/>
    <w:rsid w:val="00B44CC6"/>
    <w:rsid w:val="00B46F22"/>
    <w:rsid w:val="00B47B99"/>
    <w:rsid w:val="00B52692"/>
    <w:rsid w:val="00B529C9"/>
    <w:rsid w:val="00B52D73"/>
    <w:rsid w:val="00B5326B"/>
    <w:rsid w:val="00B5489C"/>
    <w:rsid w:val="00B56959"/>
    <w:rsid w:val="00B57F88"/>
    <w:rsid w:val="00B60381"/>
    <w:rsid w:val="00B62443"/>
    <w:rsid w:val="00B6495F"/>
    <w:rsid w:val="00B6582A"/>
    <w:rsid w:val="00B71173"/>
    <w:rsid w:val="00B71559"/>
    <w:rsid w:val="00B71953"/>
    <w:rsid w:val="00B7266A"/>
    <w:rsid w:val="00B75570"/>
    <w:rsid w:val="00B76931"/>
    <w:rsid w:val="00B777DE"/>
    <w:rsid w:val="00B77D3F"/>
    <w:rsid w:val="00B8166D"/>
    <w:rsid w:val="00B82165"/>
    <w:rsid w:val="00B84232"/>
    <w:rsid w:val="00B87AF6"/>
    <w:rsid w:val="00B92250"/>
    <w:rsid w:val="00B92B60"/>
    <w:rsid w:val="00B936C5"/>
    <w:rsid w:val="00B93BD5"/>
    <w:rsid w:val="00B94058"/>
    <w:rsid w:val="00B96429"/>
    <w:rsid w:val="00B976A8"/>
    <w:rsid w:val="00BA02E3"/>
    <w:rsid w:val="00BA10F6"/>
    <w:rsid w:val="00BA28BA"/>
    <w:rsid w:val="00BA3176"/>
    <w:rsid w:val="00BA3EAC"/>
    <w:rsid w:val="00BA47E8"/>
    <w:rsid w:val="00BA67EB"/>
    <w:rsid w:val="00BA7EB1"/>
    <w:rsid w:val="00BB316A"/>
    <w:rsid w:val="00BB787D"/>
    <w:rsid w:val="00BC11D7"/>
    <w:rsid w:val="00BC559F"/>
    <w:rsid w:val="00BC6731"/>
    <w:rsid w:val="00BD03C5"/>
    <w:rsid w:val="00BD0543"/>
    <w:rsid w:val="00BD16B2"/>
    <w:rsid w:val="00BD29CE"/>
    <w:rsid w:val="00BD3046"/>
    <w:rsid w:val="00BD5290"/>
    <w:rsid w:val="00BD55EE"/>
    <w:rsid w:val="00BD6607"/>
    <w:rsid w:val="00BE12CF"/>
    <w:rsid w:val="00BE15AF"/>
    <w:rsid w:val="00BE1FAF"/>
    <w:rsid w:val="00BE33E5"/>
    <w:rsid w:val="00BE3743"/>
    <w:rsid w:val="00BE4220"/>
    <w:rsid w:val="00BE65AE"/>
    <w:rsid w:val="00BF0444"/>
    <w:rsid w:val="00BF255B"/>
    <w:rsid w:val="00BF38CA"/>
    <w:rsid w:val="00BF4C89"/>
    <w:rsid w:val="00BF56A0"/>
    <w:rsid w:val="00BF5A40"/>
    <w:rsid w:val="00BF7275"/>
    <w:rsid w:val="00C0086A"/>
    <w:rsid w:val="00C02477"/>
    <w:rsid w:val="00C03143"/>
    <w:rsid w:val="00C038C0"/>
    <w:rsid w:val="00C04058"/>
    <w:rsid w:val="00C04D13"/>
    <w:rsid w:val="00C068BE"/>
    <w:rsid w:val="00C10AAD"/>
    <w:rsid w:val="00C11F15"/>
    <w:rsid w:val="00C125EA"/>
    <w:rsid w:val="00C12EC7"/>
    <w:rsid w:val="00C1327D"/>
    <w:rsid w:val="00C13A1E"/>
    <w:rsid w:val="00C14043"/>
    <w:rsid w:val="00C1784C"/>
    <w:rsid w:val="00C17E8F"/>
    <w:rsid w:val="00C20A17"/>
    <w:rsid w:val="00C20DF0"/>
    <w:rsid w:val="00C20FD0"/>
    <w:rsid w:val="00C2166A"/>
    <w:rsid w:val="00C21E40"/>
    <w:rsid w:val="00C24EE7"/>
    <w:rsid w:val="00C273C6"/>
    <w:rsid w:val="00C274FA"/>
    <w:rsid w:val="00C27671"/>
    <w:rsid w:val="00C31315"/>
    <w:rsid w:val="00C317CD"/>
    <w:rsid w:val="00C31B37"/>
    <w:rsid w:val="00C342FA"/>
    <w:rsid w:val="00C35AA9"/>
    <w:rsid w:val="00C35C80"/>
    <w:rsid w:val="00C421F2"/>
    <w:rsid w:val="00C42CCA"/>
    <w:rsid w:val="00C435C5"/>
    <w:rsid w:val="00C4764F"/>
    <w:rsid w:val="00C507C7"/>
    <w:rsid w:val="00C51622"/>
    <w:rsid w:val="00C54334"/>
    <w:rsid w:val="00C555FA"/>
    <w:rsid w:val="00C56CE4"/>
    <w:rsid w:val="00C60A16"/>
    <w:rsid w:val="00C612D1"/>
    <w:rsid w:val="00C61F1E"/>
    <w:rsid w:val="00C62098"/>
    <w:rsid w:val="00C63283"/>
    <w:rsid w:val="00C641C0"/>
    <w:rsid w:val="00C64FF7"/>
    <w:rsid w:val="00C66A96"/>
    <w:rsid w:val="00C66C0E"/>
    <w:rsid w:val="00C6772B"/>
    <w:rsid w:val="00C70534"/>
    <w:rsid w:val="00C70742"/>
    <w:rsid w:val="00C70932"/>
    <w:rsid w:val="00C709F7"/>
    <w:rsid w:val="00C71B31"/>
    <w:rsid w:val="00C72BD9"/>
    <w:rsid w:val="00C77C38"/>
    <w:rsid w:val="00C77C58"/>
    <w:rsid w:val="00C80F5E"/>
    <w:rsid w:val="00C81E86"/>
    <w:rsid w:val="00C82075"/>
    <w:rsid w:val="00C82277"/>
    <w:rsid w:val="00C84655"/>
    <w:rsid w:val="00C8576C"/>
    <w:rsid w:val="00C85CAE"/>
    <w:rsid w:val="00C87BE0"/>
    <w:rsid w:val="00C933FA"/>
    <w:rsid w:val="00CA082A"/>
    <w:rsid w:val="00CA0ABC"/>
    <w:rsid w:val="00CA12FB"/>
    <w:rsid w:val="00CA2752"/>
    <w:rsid w:val="00CA2EC9"/>
    <w:rsid w:val="00CA5563"/>
    <w:rsid w:val="00CA6385"/>
    <w:rsid w:val="00CB2A72"/>
    <w:rsid w:val="00CB453B"/>
    <w:rsid w:val="00CB4E15"/>
    <w:rsid w:val="00CB540F"/>
    <w:rsid w:val="00CB5B4C"/>
    <w:rsid w:val="00CC0737"/>
    <w:rsid w:val="00CC3B31"/>
    <w:rsid w:val="00CC3F9B"/>
    <w:rsid w:val="00CC7BD9"/>
    <w:rsid w:val="00CC7C11"/>
    <w:rsid w:val="00CD0D41"/>
    <w:rsid w:val="00CD6796"/>
    <w:rsid w:val="00CD69F6"/>
    <w:rsid w:val="00CD6D5C"/>
    <w:rsid w:val="00CD744E"/>
    <w:rsid w:val="00CE07F3"/>
    <w:rsid w:val="00CE1AA6"/>
    <w:rsid w:val="00CE511E"/>
    <w:rsid w:val="00CE5243"/>
    <w:rsid w:val="00CE6300"/>
    <w:rsid w:val="00CE69CF"/>
    <w:rsid w:val="00CF0E73"/>
    <w:rsid w:val="00CF3739"/>
    <w:rsid w:val="00CF3BB3"/>
    <w:rsid w:val="00CF41E6"/>
    <w:rsid w:val="00CF5FFC"/>
    <w:rsid w:val="00CF6D46"/>
    <w:rsid w:val="00CF6DF1"/>
    <w:rsid w:val="00D018D3"/>
    <w:rsid w:val="00D02DB1"/>
    <w:rsid w:val="00D02F55"/>
    <w:rsid w:val="00D038AA"/>
    <w:rsid w:val="00D04941"/>
    <w:rsid w:val="00D049C4"/>
    <w:rsid w:val="00D04E92"/>
    <w:rsid w:val="00D07CCC"/>
    <w:rsid w:val="00D1079D"/>
    <w:rsid w:val="00D10D09"/>
    <w:rsid w:val="00D123EB"/>
    <w:rsid w:val="00D12F8A"/>
    <w:rsid w:val="00D1478D"/>
    <w:rsid w:val="00D14A98"/>
    <w:rsid w:val="00D14DDD"/>
    <w:rsid w:val="00D17A38"/>
    <w:rsid w:val="00D17AFA"/>
    <w:rsid w:val="00D17D80"/>
    <w:rsid w:val="00D22770"/>
    <w:rsid w:val="00D23964"/>
    <w:rsid w:val="00D2478E"/>
    <w:rsid w:val="00D24EE9"/>
    <w:rsid w:val="00D25470"/>
    <w:rsid w:val="00D255F4"/>
    <w:rsid w:val="00D26457"/>
    <w:rsid w:val="00D26CFE"/>
    <w:rsid w:val="00D27075"/>
    <w:rsid w:val="00D3124D"/>
    <w:rsid w:val="00D32D6D"/>
    <w:rsid w:val="00D3468D"/>
    <w:rsid w:val="00D36605"/>
    <w:rsid w:val="00D37702"/>
    <w:rsid w:val="00D40CED"/>
    <w:rsid w:val="00D419A7"/>
    <w:rsid w:val="00D42432"/>
    <w:rsid w:val="00D50088"/>
    <w:rsid w:val="00D52506"/>
    <w:rsid w:val="00D52DB8"/>
    <w:rsid w:val="00D53F9A"/>
    <w:rsid w:val="00D54478"/>
    <w:rsid w:val="00D562C9"/>
    <w:rsid w:val="00D56A6B"/>
    <w:rsid w:val="00D5735B"/>
    <w:rsid w:val="00D57476"/>
    <w:rsid w:val="00D57B4C"/>
    <w:rsid w:val="00D62DCD"/>
    <w:rsid w:val="00D63161"/>
    <w:rsid w:val="00D63851"/>
    <w:rsid w:val="00D641A7"/>
    <w:rsid w:val="00D650B2"/>
    <w:rsid w:val="00D66DC1"/>
    <w:rsid w:val="00D66F15"/>
    <w:rsid w:val="00D67741"/>
    <w:rsid w:val="00D73958"/>
    <w:rsid w:val="00D74157"/>
    <w:rsid w:val="00D74774"/>
    <w:rsid w:val="00D75954"/>
    <w:rsid w:val="00D7787D"/>
    <w:rsid w:val="00D85205"/>
    <w:rsid w:val="00D85ABC"/>
    <w:rsid w:val="00D87AD7"/>
    <w:rsid w:val="00D916FF"/>
    <w:rsid w:val="00D97270"/>
    <w:rsid w:val="00D97946"/>
    <w:rsid w:val="00DA01EB"/>
    <w:rsid w:val="00DA3F17"/>
    <w:rsid w:val="00DA49F2"/>
    <w:rsid w:val="00DA5647"/>
    <w:rsid w:val="00DA5CEF"/>
    <w:rsid w:val="00DA6188"/>
    <w:rsid w:val="00DA6B09"/>
    <w:rsid w:val="00DA7751"/>
    <w:rsid w:val="00DB1CC8"/>
    <w:rsid w:val="00DB2297"/>
    <w:rsid w:val="00DB248F"/>
    <w:rsid w:val="00DB4FDE"/>
    <w:rsid w:val="00DB6D6C"/>
    <w:rsid w:val="00DC2DE8"/>
    <w:rsid w:val="00DC460D"/>
    <w:rsid w:val="00DC4622"/>
    <w:rsid w:val="00DC4B2E"/>
    <w:rsid w:val="00DC5054"/>
    <w:rsid w:val="00DC5297"/>
    <w:rsid w:val="00DC55C7"/>
    <w:rsid w:val="00DD189C"/>
    <w:rsid w:val="00DD1DC8"/>
    <w:rsid w:val="00DD205A"/>
    <w:rsid w:val="00DD60C8"/>
    <w:rsid w:val="00DD618D"/>
    <w:rsid w:val="00DE08B9"/>
    <w:rsid w:val="00DE4E69"/>
    <w:rsid w:val="00DE6BFA"/>
    <w:rsid w:val="00DF224A"/>
    <w:rsid w:val="00DF3A08"/>
    <w:rsid w:val="00DF54BF"/>
    <w:rsid w:val="00E025A6"/>
    <w:rsid w:val="00E02A7A"/>
    <w:rsid w:val="00E11BE7"/>
    <w:rsid w:val="00E133DB"/>
    <w:rsid w:val="00E157A5"/>
    <w:rsid w:val="00E1595E"/>
    <w:rsid w:val="00E17851"/>
    <w:rsid w:val="00E22255"/>
    <w:rsid w:val="00E24C5F"/>
    <w:rsid w:val="00E24C8A"/>
    <w:rsid w:val="00E2518D"/>
    <w:rsid w:val="00E26E57"/>
    <w:rsid w:val="00E27FE7"/>
    <w:rsid w:val="00E3155C"/>
    <w:rsid w:val="00E31C58"/>
    <w:rsid w:val="00E3330A"/>
    <w:rsid w:val="00E34674"/>
    <w:rsid w:val="00E36903"/>
    <w:rsid w:val="00E37F20"/>
    <w:rsid w:val="00E4177C"/>
    <w:rsid w:val="00E4300F"/>
    <w:rsid w:val="00E43475"/>
    <w:rsid w:val="00E444D2"/>
    <w:rsid w:val="00E45DCE"/>
    <w:rsid w:val="00E45F5C"/>
    <w:rsid w:val="00E4738E"/>
    <w:rsid w:val="00E52E41"/>
    <w:rsid w:val="00E53031"/>
    <w:rsid w:val="00E554E0"/>
    <w:rsid w:val="00E555C3"/>
    <w:rsid w:val="00E55783"/>
    <w:rsid w:val="00E56F20"/>
    <w:rsid w:val="00E57E4B"/>
    <w:rsid w:val="00E600BE"/>
    <w:rsid w:val="00E61DAB"/>
    <w:rsid w:val="00E62254"/>
    <w:rsid w:val="00E66637"/>
    <w:rsid w:val="00E6762F"/>
    <w:rsid w:val="00E700E1"/>
    <w:rsid w:val="00E712C7"/>
    <w:rsid w:val="00E72E8F"/>
    <w:rsid w:val="00E7343C"/>
    <w:rsid w:val="00E837D2"/>
    <w:rsid w:val="00E837EC"/>
    <w:rsid w:val="00E84755"/>
    <w:rsid w:val="00E85D03"/>
    <w:rsid w:val="00E85FEC"/>
    <w:rsid w:val="00E8762E"/>
    <w:rsid w:val="00E90A0F"/>
    <w:rsid w:val="00E92674"/>
    <w:rsid w:val="00E94405"/>
    <w:rsid w:val="00E95569"/>
    <w:rsid w:val="00EA381A"/>
    <w:rsid w:val="00EA4C06"/>
    <w:rsid w:val="00EB2915"/>
    <w:rsid w:val="00EB2EFA"/>
    <w:rsid w:val="00EB30ED"/>
    <w:rsid w:val="00EB36C5"/>
    <w:rsid w:val="00EB3958"/>
    <w:rsid w:val="00EB3A1A"/>
    <w:rsid w:val="00EB4953"/>
    <w:rsid w:val="00EB7739"/>
    <w:rsid w:val="00EC1FEF"/>
    <w:rsid w:val="00EC200C"/>
    <w:rsid w:val="00EC32BB"/>
    <w:rsid w:val="00EC35FA"/>
    <w:rsid w:val="00EC36A5"/>
    <w:rsid w:val="00EC4D9C"/>
    <w:rsid w:val="00EC647A"/>
    <w:rsid w:val="00EC6586"/>
    <w:rsid w:val="00EC6A23"/>
    <w:rsid w:val="00ED1702"/>
    <w:rsid w:val="00ED301C"/>
    <w:rsid w:val="00ED3F1F"/>
    <w:rsid w:val="00ED6727"/>
    <w:rsid w:val="00ED6815"/>
    <w:rsid w:val="00ED7897"/>
    <w:rsid w:val="00EE05F9"/>
    <w:rsid w:val="00EE08FE"/>
    <w:rsid w:val="00EE4D95"/>
    <w:rsid w:val="00EF2C24"/>
    <w:rsid w:val="00EF3663"/>
    <w:rsid w:val="00EF4E03"/>
    <w:rsid w:val="00F0251F"/>
    <w:rsid w:val="00F02E07"/>
    <w:rsid w:val="00F0587E"/>
    <w:rsid w:val="00F05C1F"/>
    <w:rsid w:val="00F11D11"/>
    <w:rsid w:val="00F14BB0"/>
    <w:rsid w:val="00F202B4"/>
    <w:rsid w:val="00F20490"/>
    <w:rsid w:val="00F261FC"/>
    <w:rsid w:val="00F3134B"/>
    <w:rsid w:val="00F31429"/>
    <w:rsid w:val="00F3202E"/>
    <w:rsid w:val="00F35C53"/>
    <w:rsid w:val="00F40A2A"/>
    <w:rsid w:val="00F454FD"/>
    <w:rsid w:val="00F464E5"/>
    <w:rsid w:val="00F47BC4"/>
    <w:rsid w:val="00F516FB"/>
    <w:rsid w:val="00F575D9"/>
    <w:rsid w:val="00F618C8"/>
    <w:rsid w:val="00F667E7"/>
    <w:rsid w:val="00F66AD1"/>
    <w:rsid w:val="00F67A68"/>
    <w:rsid w:val="00F71611"/>
    <w:rsid w:val="00F72351"/>
    <w:rsid w:val="00F74D4F"/>
    <w:rsid w:val="00F752CB"/>
    <w:rsid w:val="00F76935"/>
    <w:rsid w:val="00F76D07"/>
    <w:rsid w:val="00F77E00"/>
    <w:rsid w:val="00F81CD6"/>
    <w:rsid w:val="00F84196"/>
    <w:rsid w:val="00F8420F"/>
    <w:rsid w:val="00F8448C"/>
    <w:rsid w:val="00F86843"/>
    <w:rsid w:val="00F903B9"/>
    <w:rsid w:val="00F91070"/>
    <w:rsid w:val="00F9186D"/>
    <w:rsid w:val="00F94BE7"/>
    <w:rsid w:val="00F95F5F"/>
    <w:rsid w:val="00F967EE"/>
    <w:rsid w:val="00F96AD1"/>
    <w:rsid w:val="00F96D62"/>
    <w:rsid w:val="00F96F3B"/>
    <w:rsid w:val="00F978BE"/>
    <w:rsid w:val="00FA28F6"/>
    <w:rsid w:val="00FA363C"/>
    <w:rsid w:val="00FA3A56"/>
    <w:rsid w:val="00FA4C1D"/>
    <w:rsid w:val="00FB178B"/>
    <w:rsid w:val="00FB396B"/>
    <w:rsid w:val="00FB52A5"/>
    <w:rsid w:val="00FB56BE"/>
    <w:rsid w:val="00FB6465"/>
    <w:rsid w:val="00FC1121"/>
    <w:rsid w:val="00FC1152"/>
    <w:rsid w:val="00FC4716"/>
    <w:rsid w:val="00FC4A7C"/>
    <w:rsid w:val="00FC7924"/>
    <w:rsid w:val="00FD05FC"/>
    <w:rsid w:val="00FD10D3"/>
    <w:rsid w:val="00FD38DF"/>
    <w:rsid w:val="00FD4E13"/>
    <w:rsid w:val="00FD5791"/>
    <w:rsid w:val="00FE07A1"/>
    <w:rsid w:val="00FE123D"/>
    <w:rsid w:val="00FE5583"/>
    <w:rsid w:val="00FF0E84"/>
    <w:rsid w:val="00FF153F"/>
    <w:rsid w:val="00FF21C4"/>
    <w:rsid w:val="00FF3D8C"/>
    <w:rsid w:val="00FF5181"/>
    <w:rsid w:val="00FF63F4"/>
    <w:rsid w:val="00FF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AEF7EE-9B39-4B74-8A50-C822BEF7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F93"/>
    <w:pPr>
      <w:spacing w:after="200" w:line="276" w:lineRule="auto"/>
    </w:pPr>
  </w:style>
  <w:style w:type="paragraph" w:styleId="3">
    <w:name w:val="heading 3"/>
    <w:basedOn w:val="a"/>
    <w:link w:val="30"/>
    <w:uiPriority w:val="9"/>
    <w:qFormat/>
    <w:locked/>
    <w:rsid w:val="00377B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07CCC"/>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locked/>
    <w:rsid w:val="00D07CCC"/>
    <w:rPr>
      <w:rFonts w:ascii="Times New Roman" w:hAnsi="Times New Roman" w:cs="Times New Roman"/>
      <w:sz w:val="20"/>
      <w:szCs w:val="20"/>
    </w:rPr>
  </w:style>
  <w:style w:type="character" w:styleId="a5">
    <w:name w:val="Strong"/>
    <w:basedOn w:val="a0"/>
    <w:uiPriority w:val="22"/>
    <w:qFormat/>
    <w:rsid w:val="00A52ECA"/>
    <w:rPr>
      <w:rFonts w:cs="Times New Roman"/>
      <w:b/>
      <w:bCs/>
    </w:rPr>
  </w:style>
  <w:style w:type="paragraph" w:styleId="a6">
    <w:name w:val="Body Text"/>
    <w:basedOn w:val="a"/>
    <w:link w:val="a7"/>
    <w:uiPriority w:val="99"/>
    <w:rsid w:val="00A52ECA"/>
    <w:pPr>
      <w:suppressAutoHyphens/>
      <w:spacing w:after="120"/>
    </w:pPr>
    <w:rPr>
      <w:rFonts w:cs="Calibri"/>
      <w:lang w:eastAsia="ar-SA"/>
    </w:rPr>
  </w:style>
  <w:style w:type="character" w:customStyle="1" w:styleId="a7">
    <w:name w:val="Основной текст Знак"/>
    <w:basedOn w:val="a0"/>
    <w:link w:val="a6"/>
    <w:uiPriority w:val="99"/>
    <w:locked/>
    <w:rsid w:val="00A52ECA"/>
    <w:rPr>
      <w:rFonts w:ascii="Calibri" w:hAnsi="Calibri" w:cs="Calibri"/>
      <w:lang w:eastAsia="ar-SA" w:bidi="ar-SA"/>
    </w:rPr>
  </w:style>
  <w:style w:type="paragraph" w:styleId="a8">
    <w:name w:val="No Spacing"/>
    <w:link w:val="a9"/>
    <w:qFormat/>
    <w:rsid w:val="00A52ECA"/>
    <w:pPr>
      <w:suppressAutoHyphens/>
    </w:pPr>
    <w:rPr>
      <w:rFonts w:cs="Calibri"/>
      <w:lang w:eastAsia="ar-SA"/>
    </w:rPr>
  </w:style>
  <w:style w:type="paragraph" w:styleId="aa">
    <w:name w:val="Normal (Web)"/>
    <w:aliases w:val="Обычный (веб)1,Обычный (веб) Знак,Обычный (веб) Знак1,Обычный (веб) Знак Знак"/>
    <w:basedOn w:val="a"/>
    <w:uiPriority w:val="99"/>
    <w:rsid w:val="00A52ECA"/>
    <w:pPr>
      <w:suppressAutoHyphens/>
      <w:spacing w:before="280" w:after="280" w:line="240" w:lineRule="auto"/>
    </w:pPr>
    <w:rPr>
      <w:rFonts w:ascii="Times New Roman" w:hAnsi="Times New Roman"/>
      <w:sz w:val="24"/>
      <w:szCs w:val="24"/>
      <w:lang w:eastAsia="ar-SA"/>
    </w:rPr>
  </w:style>
  <w:style w:type="paragraph" w:customStyle="1" w:styleId="31">
    <w:name w:val="Основной текст с отступом 31"/>
    <w:basedOn w:val="a"/>
    <w:uiPriority w:val="99"/>
    <w:rsid w:val="00A52ECA"/>
    <w:pPr>
      <w:spacing w:after="120" w:line="240" w:lineRule="auto"/>
      <w:ind w:left="283"/>
    </w:pPr>
    <w:rPr>
      <w:rFonts w:ascii="Times New Roman" w:hAnsi="Times New Roman"/>
      <w:sz w:val="16"/>
      <w:szCs w:val="16"/>
      <w:lang w:eastAsia="ar-SA"/>
    </w:rPr>
  </w:style>
  <w:style w:type="paragraph" w:customStyle="1" w:styleId="21">
    <w:name w:val="Основной текст с отступом 21"/>
    <w:basedOn w:val="a"/>
    <w:uiPriority w:val="99"/>
    <w:rsid w:val="00A52ECA"/>
    <w:pPr>
      <w:suppressAutoHyphens/>
      <w:spacing w:after="120" w:line="480" w:lineRule="auto"/>
      <w:ind w:left="283"/>
    </w:pPr>
    <w:rPr>
      <w:rFonts w:ascii="Times New Roman" w:hAnsi="Times New Roman"/>
      <w:sz w:val="24"/>
      <w:szCs w:val="24"/>
      <w:lang w:eastAsia="ar-SA"/>
    </w:rPr>
  </w:style>
  <w:style w:type="paragraph" w:customStyle="1" w:styleId="note">
    <w:name w:val="note"/>
    <w:basedOn w:val="a"/>
    <w:uiPriority w:val="99"/>
    <w:rsid w:val="00A52ECA"/>
    <w:pPr>
      <w:suppressAutoHyphens/>
      <w:spacing w:before="280" w:after="280" w:line="240" w:lineRule="auto"/>
    </w:pPr>
    <w:rPr>
      <w:rFonts w:ascii="Times New Roman" w:hAnsi="Times New Roman"/>
      <w:sz w:val="24"/>
      <w:szCs w:val="24"/>
      <w:lang w:eastAsia="ar-SA"/>
    </w:rPr>
  </w:style>
  <w:style w:type="paragraph" w:styleId="ab">
    <w:name w:val="header"/>
    <w:basedOn w:val="a"/>
    <w:link w:val="ac"/>
    <w:uiPriority w:val="99"/>
    <w:rsid w:val="006A2B6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A2B6C"/>
    <w:rPr>
      <w:rFonts w:cs="Times New Roman"/>
    </w:rPr>
  </w:style>
  <w:style w:type="paragraph" w:styleId="ad">
    <w:name w:val="footer"/>
    <w:basedOn w:val="a"/>
    <w:link w:val="ae"/>
    <w:uiPriority w:val="99"/>
    <w:semiHidden/>
    <w:rsid w:val="006A2B6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6A2B6C"/>
    <w:rPr>
      <w:rFonts w:cs="Times New Roman"/>
    </w:rPr>
  </w:style>
  <w:style w:type="paragraph" w:customStyle="1" w:styleId="1">
    <w:name w:val="Текст1"/>
    <w:basedOn w:val="a"/>
    <w:uiPriority w:val="99"/>
    <w:rsid w:val="00D66F15"/>
    <w:pPr>
      <w:suppressAutoHyphens/>
      <w:spacing w:after="0" w:line="240" w:lineRule="auto"/>
    </w:pPr>
    <w:rPr>
      <w:rFonts w:ascii="Courier New" w:hAnsi="Courier New"/>
      <w:sz w:val="20"/>
      <w:szCs w:val="20"/>
      <w:lang w:eastAsia="ar-SA"/>
    </w:rPr>
  </w:style>
  <w:style w:type="paragraph" w:customStyle="1" w:styleId="Default">
    <w:name w:val="Default"/>
    <w:rsid w:val="00801AC5"/>
    <w:pPr>
      <w:autoSpaceDE w:val="0"/>
      <w:autoSpaceDN w:val="0"/>
      <w:adjustRightInd w:val="0"/>
    </w:pPr>
    <w:rPr>
      <w:rFonts w:ascii="Times New Roman" w:hAnsi="Times New Roman"/>
      <w:color w:val="000000"/>
      <w:sz w:val="24"/>
      <w:szCs w:val="24"/>
    </w:rPr>
  </w:style>
  <w:style w:type="paragraph" w:styleId="af">
    <w:name w:val="List Paragraph"/>
    <w:aliases w:val="Абзац списка основной"/>
    <w:basedOn w:val="a"/>
    <w:link w:val="af0"/>
    <w:uiPriority w:val="34"/>
    <w:qFormat/>
    <w:rsid w:val="00801AC5"/>
    <w:pPr>
      <w:spacing w:after="0" w:line="240" w:lineRule="auto"/>
      <w:ind w:left="720"/>
      <w:contextualSpacing/>
    </w:pPr>
    <w:rPr>
      <w:rFonts w:ascii="Times New Roman" w:hAnsi="Times New Roman"/>
      <w:sz w:val="28"/>
      <w:szCs w:val="28"/>
    </w:rPr>
  </w:style>
  <w:style w:type="paragraph" w:customStyle="1" w:styleId="22">
    <w:name w:val="Основной текст 22"/>
    <w:basedOn w:val="a"/>
    <w:uiPriority w:val="99"/>
    <w:rsid w:val="005C574C"/>
    <w:pPr>
      <w:suppressAutoHyphens/>
      <w:autoSpaceDE w:val="0"/>
      <w:spacing w:after="120" w:line="480" w:lineRule="auto"/>
    </w:pPr>
    <w:rPr>
      <w:rFonts w:ascii="Times New Roman" w:hAnsi="Times New Roman"/>
      <w:sz w:val="20"/>
      <w:szCs w:val="20"/>
      <w:lang w:eastAsia="ar-SA"/>
    </w:rPr>
  </w:style>
  <w:style w:type="paragraph" w:customStyle="1" w:styleId="af1">
    <w:name w:val="Последний абзац"/>
    <w:basedOn w:val="22"/>
    <w:link w:val="af2"/>
    <w:qFormat/>
    <w:rsid w:val="005C574C"/>
    <w:pPr>
      <w:widowControl w:val="0"/>
      <w:spacing w:after="0" w:line="360" w:lineRule="auto"/>
      <w:ind w:firstLine="709"/>
      <w:jc w:val="both"/>
    </w:pPr>
  </w:style>
  <w:style w:type="paragraph" w:styleId="32">
    <w:name w:val="Body Text Indent 3"/>
    <w:basedOn w:val="a"/>
    <w:link w:val="33"/>
    <w:uiPriority w:val="99"/>
    <w:semiHidden/>
    <w:rsid w:val="005C574C"/>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5C574C"/>
    <w:rPr>
      <w:rFonts w:cs="Times New Roman"/>
      <w:sz w:val="16"/>
      <w:szCs w:val="16"/>
    </w:rPr>
  </w:style>
  <w:style w:type="paragraph" w:styleId="2">
    <w:name w:val="Body Text 2"/>
    <w:basedOn w:val="a"/>
    <w:link w:val="20"/>
    <w:uiPriority w:val="99"/>
    <w:semiHidden/>
    <w:rsid w:val="005C574C"/>
    <w:pPr>
      <w:spacing w:after="120" w:line="480" w:lineRule="auto"/>
    </w:pPr>
  </w:style>
  <w:style w:type="character" w:customStyle="1" w:styleId="20">
    <w:name w:val="Основной текст 2 Знак"/>
    <w:basedOn w:val="a0"/>
    <w:link w:val="2"/>
    <w:uiPriority w:val="99"/>
    <w:semiHidden/>
    <w:locked/>
    <w:rsid w:val="005C574C"/>
    <w:rPr>
      <w:rFonts w:cs="Times New Roman"/>
    </w:rPr>
  </w:style>
  <w:style w:type="character" w:customStyle="1" w:styleId="a9">
    <w:name w:val="Без интервала Знак"/>
    <w:basedOn w:val="a0"/>
    <w:link w:val="a8"/>
    <w:locked/>
    <w:rsid w:val="00B23509"/>
    <w:rPr>
      <w:rFonts w:cs="Calibri"/>
      <w:sz w:val="22"/>
      <w:szCs w:val="22"/>
      <w:lang w:val="ru-RU" w:eastAsia="ar-SA" w:bidi="ar-SA"/>
    </w:rPr>
  </w:style>
  <w:style w:type="paragraph" w:styleId="23">
    <w:name w:val="Body Text Indent 2"/>
    <w:basedOn w:val="a"/>
    <w:link w:val="24"/>
    <w:rsid w:val="00B2350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locked/>
    <w:rsid w:val="00B23509"/>
    <w:rPr>
      <w:rFonts w:ascii="Times New Roman" w:hAnsi="Times New Roman" w:cs="Times New Roman"/>
      <w:sz w:val="24"/>
      <w:szCs w:val="24"/>
    </w:rPr>
  </w:style>
  <w:style w:type="character" w:customStyle="1" w:styleId="apple-converted-space">
    <w:name w:val="apple-converted-space"/>
    <w:basedOn w:val="a0"/>
    <w:rsid w:val="00315A34"/>
    <w:rPr>
      <w:rFonts w:cs="Times New Roman"/>
    </w:rPr>
  </w:style>
  <w:style w:type="character" w:styleId="af3">
    <w:name w:val="Hyperlink"/>
    <w:basedOn w:val="a0"/>
    <w:uiPriority w:val="99"/>
    <w:semiHidden/>
    <w:rsid w:val="00315A34"/>
    <w:rPr>
      <w:rFonts w:cs="Times New Roman"/>
      <w:color w:val="0000FF"/>
      <w:u w:val="single"/>
    </w:rPr>
  </w:style>
  <w:style w:type="character" w:styleId="af4">
    <w:name w:val="Emphasis"/>
    <w:basedOn w:val="a0"/>
    <w:uiPriority w:val="99"/>
    <w:qFormat/>
    <w:rsid w:val="000B6A0B"/>
    <w:rPr>
      <w:rFonts w:cs="Times New Roman"/>
      <w:i/>
      <w:iCs/>
    </w:rPr>
  </w:style>
  <w:style w:type="table" w:styleId="af5">
    <w:name w:val="Table Grid"/>
    <w:basedOn w:val="a1"/>
    <w:uiPriority w:val="99"/>
    <w:rsid w:val="00C7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C555FA"/>
    <w:pPr>
      <w:spacing w:before="100" w:beforeAutospacing="1" w:after="100" w:afterAutospacing="1" w:line="240" w:lineRule="auto"/>
    </w:pPr>
    <w:rPr>
      <w:rFonts w:ascii="Times New Roman" w:hAnsi="Times New Roman"/>
      <w:sz w:val="24"/>
      <w:szCs w:val="24"/>
    </w:rPr>
  </w:style>
  <w:style w:type="character" w:customStyle="1" w:styleId="af2">
    <w:name w:val="Последний абзац Знак"/>
    <w:link w:val="af1"/>
    <w:locked/>
    <w:rsid w:val="00F14BB0"/>
    <w:rPr>
      <w:rFonts w:ascii="Times New Roman" w:hAnsi="Times New Roman"/>
      <w:sz w:val="20"/>
      <w:lang w:eastAsia="ar-SA" w:bidi="ar-SA"/>
    </w:rPr>
  </w:style>
  <w:style w:type="paragraph" w:customStyle="1" w:styleId="10">
    <w:name w:val="Без интервала1"/>
    <w:link w:val="NoSpacingChar"/>
    <w:uiPriority w:val="99"/>
    <w:rsid w:val="003016D7"/>
    <w:pPr>
      <w:suppressAutoHyphens/>
    </w:pPr>
    <w:rPr>
      <w:rFonts w:cs="Calibri"/>
      <w:lang w:eastAsia="ar-SA"/>
    </w:rPr>
  </w:style>
  <w:style w:type="character" w:customStyle="1" w:styleId="NoSpacingChar">
    <w:name w:val="No Spacing Char"/>
    <w:basedOn w:val="a0"/>
    <w:link w:val="10"/>
    <w:locked/>
    <w:rsid w:val="003016D7"/>
    <w:rPr>
      <w:rFonts w:cs="Calibri"/>
      <w:sz w:val="22"/>
      <w:szCs w:val="22"/>
      <w:lang w:val="ru-RU" w:eastAsia="ar-SA" w:bidi="ar-SA"/>
    </w:rPr>
  </w:style>
  <w:style w:type="paragraph" w:customStyle="1" w:styleId="ConsPlusNonformat">
    <w:name w:val="ConsPlusNonformat"/>
    <w:uiPriority w:val="99"/>
    <w:rsid w:val="003269B2"/>
    <w:pPr>
      <w:autoSpaceDE w:val="0"/>
      <w:autoSpaceDN w:val="0"/>
      <w:adjustRightInd w:val="0"/>
    </w:pPr>
    <w:rPr>
      <w:rFonts w:ascii="Courier New" w:hAnsi="Courier New" w:cs="Courier New"/>
      <w:sz w:val="20"/>
      <w:szCs w:val="20"/>
      <w:lang w:eastAsia="en-US"/>
    </w:rPr>
  </w:style>
  <w:style w:type="paragraph" w:customStyle="1" w:styleId="default0">
    <w:name w:val="default"/>
    <w:basedOn w:val="a"/>
    <w:rsid w:val="0012611C"/>
    <w:pPr>
      <w:autoSpaceDE w:val="0"/>
      <w:autoSpaceDN w:val="0"/>
      <w:spacing w:after="0" w:line="240" w:lineRule="auto"/>
    </w:pPr>
    <w:rPr>
      <w:rFonts w:ascii="Times New Roman" w:eastAsiaTheme="minorHAnsi" w:hAnsi="Times New Roman"/>
      <w:color w:val="000000"/>
      <w:sz w:val="24"/>
      <w:szCs w:val="24"/>
    </w:rPr>
  </w:style>
  <w:style w:type="paragraph" w:customStyle="1" w:styleId="11">
    <w:name w:val="1"/>
    <w:basedOn w:val="a"/>
    <w:rsid w:val="0012611C"/>
    <w:pPr>
      <w:spacing w:after="0" w:line="240" w:lineRule="auto"/>
    </w:pPr>
    <w:rPr>
      <w:rFonts w:eastAsiaTheme="minorHAnsi"/>
    </w:rPr>
  </w:style>
  <w:style w:type="character" w:customStyle="1" w:styleId="af0">
    <w:name w:val="Абзац списка Знак"/>
    <w:aliases w:val="Абзац списка основной Знак"/>
    <w:link w:val="af"/>
    <w:locked/>
    <w:rsid w:val="0053388C"/>
    <w:rPr>
      <w:rFonts w:ascii="Times New Roman" w:hAnsi="Times New Roman"/>
      <w:sz w:val="28"/>
      <w:szCs w:val="28"/>
    </w:rPr>
  </w:style>
  <w:style w:type="paragraph" w:customStyle="1" w:styleId="headertext">
    <w:name w:val="headertext"/>
    <w:basedOn w:val="a"/>
    <w:rsid w:val="00DD189C"/>
    <w:pPr>
      <w:spacing w:before="100" w:beforeAutospacing="1" w:after="100" w:afterAutospacing="1" w:line="240" w:lineRule="auto"/>
    </w:pPr>
    <w:rPr>
      <w:rFonts w:ascii="Times New Roman" w:hAnsi="Times New Roman"/>
      <w:sz w:val="24"/>
      <w:szCs w:val="24"/>
    </w:rPr>
  </w:style>
  <w:style w:type="paragraph" w:styleId="af6">
    <w:name w:val="Block Text"/>
    <w:basedOn w:val="a"/>
    <w:rsid w:val="00C66C0E"/>
    <w:pPr>
      <w:widowControl w:val="0"/>
      <w:spacing w:before="120" w:after="0" w:line="320" w:lineRule="exact"/>
      <w:ind w:left="1540" w:right="1500"/>
      <w:jc w:val="center"/>
    </w:pPr>
    <w:rPr>
      <w:rFonts w:ascii="Times New Roman" w:hAnsi="Times New Roman"/>
      <w:sz w:val="28"/>
      <w:szCs w:val="20"/>
    </w:rPr>
  </w:style>
  <w:style w:type="paragraph" w:styleId="af7">
    <w:name w:val="Plain Text"/>
    <w:basedOn w:val="a"/>
    <w:link w:val="af8"/>
    <w:uiPriority w:val="99"/>
    <w:unhideWhenUsed/>
    <w:rsid w:val="002C6321"/>
    <w:pPr>
      <w:spacing w:after="0" w:line="240" w:lineRule="auto"/>
    </w:pPr>
    <w:rPr>
      <w:rFonts w:eastAsia="Calibri"/>
      <w:szCs w:val="21"/>
      <w:lang w:eastAsia="en-US"/>
    </w:rPr>
  </w:style>
  <w:style w:type="character" w:customStyle="1" w:styleId="af8">
    <w:name w:val="Текст Знак"/>
    <w:basedOn w:val="a0"/>
    <w:link w:val="af7"/>
    <w:uiPriority w:val="99"/>
    <w:rsid w:val="002C6321"/>
    <w:rPr>
      <w:rFonts w:eastAsia="Calibri"/>
      <w:szCs w:val="21"/>
      <w:lang w:eastAsia="en-US"/>
    </w:rPr>
  </w:style>
  <w:style w:type="paragraph" w:customStyle="1" w:styleId="25">
    <w:name w:val="Без интервала2"/>
    <w:rsid w:val="0024199E"/>
  </w:style>
  <w:style w:type="paragraph" w:styleId="af9">
    <w:name w:val="footnote text"/>
    <w:basedOn w:val="a"/>
    <w:link w:val="afa"/>
    <w:uiPriority w:val="99"/>
    <w:semiHidden/>
    <w:unhideWhenUsed/>
    <w:rsid w:val="004837CC"/>
    <w:pPr>
      <w:spacing w:after="0" w:line="240" w:lineRule="auto"/>
    </w:pPr>
    <w:rPr>
      <w:sz w:val="20"/>
      <w:szCs w:val="20"/>
    </w:rPr>
  </w:style>
  <w:style w:type="character" w:customStyle="1" w:styleId="afa">
    <w:name w:val="Текст сноски Знак"/>
    <w:basedOn w:val="a0"/>
    <w:link w:val="af9"/>
    <w:uiPriority w:val="99"/>
    <w:semiHidden/>
    <w:rsid w:val="004837CC"/>
    <w:rPr>
      <w:sz w:val="20"/>
      <w:szCs w:val="20"/>
    </w:rPr>
  </w:style>
  <w:style w:type="character" w:styleId="afb">
    <w:name w:val="footnote reference"/>
    <w:basedOn w:val="a0"/>
    <w:uiPriority w:val="99"/>
    <w:semiHidden/>
    <w:unhideWhenUsed/>
    <w:rsid w:val="004837CC"/>
    <w:rPr>
      <w:vertAlign w:val="superscript"/>
    </w:rPr>
  </w:style>
  <w:style w:type="character" w:customStyle="1" w:styleId="30">
    <w:name w:val="Заголовок 3 Знак"/>
    <w:basedOn w:val="a0"/>
    <w:link w:val="3"/>
    <w:uiPriority w:val="9"/>
    <w:rsid w:val="00377BFC"/>
    <w:rPr>
      <w:rFonts w:ascii="Times New Roman" w:hAnsi="Times New Roman"/>
      <w:b/>
      <w:bCs/>
      <w:sz w:val="27"/>
      <w:szCs w:val="27"/>
    </w:rPr>
  </w:style>
  <w:style w:type="paragraph" w:styleId="afc">
    <w:name w:val="Balloon Text"/>
    <w:basedOn w:val="a"/>
    <w:link w:val="afd"/>
    <w:uiPriority w:val="99"/>
    <w:semiHidden/>
    <w:unhideWhenUsed/>
    <w:rsid w:val="009453E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9453E2"/>
    <w:rPr>
      <w:rFonts w:ascii="Segoe UI" w:hAnsi="Segoe UI" w:cs="Segoe UI"/>
      <w:sz w:val="18"/>
      <w:szCs w:val="18"/>
    </w:rPr>
  </w:style>
  <w:style w:type="paragraph" w:customStyle="1" w:styleId="ConsPlusNormal">
    <w:name w:val="ConsPlusNormal"/>
    <w:rsid w:val="001D20CD"/>
    <w:pPr>
      <w:autoSpaceDE w:val="0"/>
      <w:autoSpaceDN w:val="0"/>
      <w:adjustRightInd w:val="0"/>
    </w:pPr>
    <w:rPr>
      <w:rFonts w:ascii="Times New Roman" w:hAnsi="Times New Roman"/>
      <w:sz w:val="28"/>
      <w:szCs w:val="28"/>
    </w:rPr>
  </w:style>
  <w:style w:type="paragraph" w:customStyle="1" w:styleId="ConsPlusTitle">
    <w:name w:val="ConsPlusTitle"/>
    <w:uiPriority w:val="99"/>
    <w:rsid w:val="001D20CD"/>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449">
      <w:bodyDiv w:val="1"/>
      <w:marLeft w:val="0"/>
      <w:marRight w:val="0"/>
      <w:marTop w:val="0"/>
      <w:marBottom w:val="0"/>
      <w:divBdr>
        <w:top w:val="none" w:sz="0" w:space="0" w:color="auto"/>
        <w:left w:val="none" w:sz="0" w:space="0" w:color="auto"/>
        <w:bottom w:val="none" w:sz="0" w:space="0" w:color="auto"/>
        <w:right w:val="none" w:sz="0" w:space="0" w:color="auto"/>
      </w:divBdr>
    </w:div>
    <w:div w:id="181745849">
      <w:bodyDiv w:val="1"/>
      <w:marLeft w:val="0"/>
      <w:marRight w:val="0"/>
      <w:marTop w:val="0"/>
      <w:marBottom w:val="0"/>
      <w:divBdr>
        <w:top w:val="none" w:sz="0" w:space="0" w:color="auto"/>
        <w:left w:val="none" w:sz="0" w:space="0" w:color="auto"/>
        <w:bottom w:val="none" w:sz="0" w:space="0" w:color="auto"/>
        <w:right w:val="none" w:sz="0" w:space="0" w:color="auto"/>
      </w:divBdr>
    </w:div>
    <w:div w:id="241258268">
      <w:bodyDiv w:val="1"/>
      <w:marLeft w:val="0"/>
      <w:marRight w:val="0"/>
      <w:marTop w:val="0"/>
      <w:marBottom w:val="0"/>
      <w:divBdr>
        <w:top w:val="none" w:sz="0" w:space="0" w:color="auto"/>
        <w:left w:val="none" w:sz="0" w:space="0" w:color="auto"/>
        <w:bottom w:val="none" w:sz="0" w:space="0" w:color="auto"/>
        <w:right w:val="none" w:sz="0" w:space="0" w:color="auto"/>
      </w:divBdr>
    </w:div>
    <w:div w:id="638268404">
      <w:bodyDiv w:val="1"/>
      <w:marLeft w:val="0"/>
      <w:marRight w:val="0"/>
      <w:marTop w:val="0"/>
      <w:marBottom w:val="0"/>
      <w:divBdr>
        <w:top w:val="none" w:sz="0" w:space="0" w:color="auto"/>
        <w:left w:val="none" w:sz="0" w:space="0" w:color="auto"/>
        <w:bottom w:val="none" w:sz="0" w:space="0" w:color="auto"/>
        <w:right w:val="none" w:sz="0" w:space="0" w:color="auto"/>
      </w:divBdr>
    </w:div>
    <w:div w:id="926884988">
      <w:bodyDiv w:val="1"/>
      <w:marLeft w:val="0"/>
      <w:marRight w:val="0"/>
      <w:marTop w:val="0"/>
      <w:marBottom w:val="0"/>
      <w:divBdr>
        <w:top w:val="none" w:sz="0" w:space="0" w:color="auto"/>
        <w:left w:val="none" w:sz="0" w:space="0" w:color="auto"/>
        <w:bottom w:val="none" w:sz="0" w:space="0" w:color="auto"/>
        <w:right w:val="none" w:sz="0" w:space="0" w:color="auto"/>
      </w:divBdr>
    </w:div>
    <w:div w:id="938490447">
      <w:bodyDiv w:val="1"/>
      <w:marLeft w:val="0"/>
      <w:marRight w:val="0"/>
      <w:marTop w:val="0"/>
      <w:marBottom w:val="0"/>
      <w:divBdr>
        <w:top w:val="none" w:sz="0" w:space="0" w:color="auto"/>
        <w:left w:val="none" w:sz="0" w:space="0" w:color="auto"/>
        <w:bottom w:val="none" w:sz="0" w:space="0" w:color="auto"/>
        <w:right w:val="none" w:sz="0" w:space="0" w:color="auto"/>
      </w:divBdr>
    </w:div>
    <w:div w:id="982539620">
      <w:bodyDiv w:val="1"/>
      <w:marLeft w:val="0"/>
      <w:marRight w:val="0"/>
      <w:marTop w:val="0"/>
      <w:marBottom w:val="0"/>
      <w:divBdr>
        <w:top w:val="none" w:sz="0" w:space="0" w:color="auto"/>
        <w:left w:val="none" w:sz="0" w:space="0" w:color="auto"/>
        <w:bottom w:val="none" w:sz="0" w:space="0" w:color="auto"/>
        <w:right w:val="none" w:sz="0" w:space="0" w:color="auto"/>
      </w:divBdr>
    </w:div>
    <w:div w:id="1318730446">
      <w:bodyDiv w:val="1"/>
      <w:marLeft w:val="0"/>
      <w:marRight w:val="0"/>
      <w:marTop w:val="0"/>
      <w:marBottom w:val="0"/>
      <w:divBdr>
        <w:top w:val="none" w:sz="0" w:space="0" w:color="auto"/>
        <w:left w:val="none" w:sz="0" w:space="0" w:color="auto"/>
        <w:bottom w:val="none" w:sz="0" w:space="0" w:color="auto"/>
        <w:right w:val="none" w:sz="0" w:space="0" w:color="auto"/>
      </w:divBdr>
    </w:div>
    <w:div w:id="1361319955">
      <w:bodyDiv w:val="1"/>
      <w:marLeft w:val="0"/>
      <w:marRight w:val="0"/>
      <w:marTop w:val="0"/>
      <w:marBottom w:val="0"/>
      <w:divBdr>
        <w:top w:val="none" w:sz="0" w:space="0" w:color="auto"/>
        <w:left w:val="none" w:sz="0" w:space="0" w:color="auto"/>
        <w:bottom w:val="none" w:sz="0" w:space="0" w:color="auto"/>
        <w:right w:val="none" w:sz="0" w:space="0" w:color="auto"/>
      </w:divBdr>
    </w:div>
    <w:div w:id="1898737832">
      <w:bodyDiv w:val="1"/>
      <w:marLeft w:val="0"/>
      <w:marRight w:val="0"/>
      <w:marTop w:val="0"/>
      <w:marBottom w:val="0"/>
      <w:divBdr>
        <w:top w:val="none" w:sz="0" w:space="0" w:color="auto"/>
        <w:left w:val="none" w:sz="0" w:space="0" w:color="auto"/>
        <w:bottom w:val="none" w:sz="0" w:space="0" w:color="auto"/>
        <w:right w:val="none" w:sz="0" w:space="0" w:color="auto"/>
      </w:divBdr>
    </w:div>
    <w:div w:id="2062051847">
      <w:marLeft w:val="0"/>
      <w:marRight w:val="0"/>
      <w:marTop w:val="0"/>
      <w:marBottom w:val="0"/>
      <w:divBdr>
        <w:top w:val="none" w:sz="0" w:space="0" w:color="auto"/>
        <w:left w:val="none" w:sz="0" w:space="0" w:color="auto"/>
        <w:bottom w:val="none" w:sz="0" w:space="0" w:color="auto"/>
        <w:right w:val="none" w:sz="0" w:space="0" w:color="auto"/>
      </w:divBdr>
    </w:div>
    <w:div w:id="2062051848">
      <w:marLeft w:val="0"/>
      <w:marRight w:val="0"/>
      <w:marTop w:val="0"/>
      <w:marBottom w:val="0"/>
      <w:divBdr>
        <w:top w:val="none" w:sz="0" w:space="0" w:color="auto"/>
        <w:left w:val="none" w:sz="0" w:space="0" w:color="auto"/>
        <w:bottom w:val="none" w:sz="0" w:space="0" w:color="auto"/>
        <w:right w:val="none" w:sz="0" w:space="0" w:color="auto"/>
      </w:divBdr>
    </w:div>
    <w:div w:id="2062051849">
      <w:marLeft w:val="0"/>
      <w:marRight w:val="0"/>
      <w:marTop w:val="0"/>
      <w:marBottom w:val="0"/>
      <w:divBdr>
        <w:top w:val="none" w:sz="0" w:space="0" w:color="auto"/>
        <w:left w:val="none" w:sz="0" w:space="0" w:color="auto"/>
        <w:bottom w:val="none" w:sz="0" w:space="0" w:color="auto"/>
        <w:right w:val="none" w:sz="0" w:space="0" w:color="auto"/>
      </w:divBdr>
    </w:div>
    <w:div w:id="2062051850">
      <w:marLeft w:val="0"/>
      <w:marRight w:val="0"/>
      <w:marTop w:val="0"/>
      <w:marBottom w:val="0"/>
      <w:divBdr>
        <w:top w:val="none" w:sz="0" w:space="0" w:color="auto"/>
        <w:left w:val="none" w:sz="0" w:space="0" w:color="auto"/>
        <w:bottom w:val="none" w:sz="0" w:space="0" w:color="auto"/>
        <w:right w:val="none" w:sz="0" w:space="0" w:color="auto"/>
      </w:divBdr>
    </w:div>
    <w:div w:id="2062051851">
      <w:marLeft w:val="0"/>
      <w:marRight w:val="0"/>
      <w:marTop w:val="0"/>
      <w:marBottom w:val="0"/>
      <w:divBdr>
        <w:top w:val="none" w:sz="0" w:space="0" w:color="auto"/>
        <w:left w:val="none" w:sz="0" w:space="0" w:color="auto"/>
        <w:bottom w:val="none" w:sz="0" w:space="0" w:color="auto"/>
        <w:right w:val="none" w:sz="0" w:space="0" w:color="auto"/>
      </w:divBdr>
    </w:div>
    <w:div w:id="2062051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22AD-E53A-4650-BCB6-8462A20A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12736</Words>
  <Characters>72597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85163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Ерохина Татьяна Владиславовна</cp:lastModifiedBy>
  <cp:revision>5</cp:revision>
  <cp:lastPrinted>2019-10-28T11:26:00Z</cp:lastPrinted>
  <dcterms:created xsi:type="dcterms:W3CDTF">2019-10-25T03:01:00Z</dcterms:created>
  <dcterms:modified xsi:type="dcterms:W3CDTF">2019-10-28T11:28:00Z</dcterms:modified>
</cp:coreProperties>
</file>