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BA4" w:rsidRPr="0076476B" w:rsidRDefault="00A50BA4" w:rsidP="00DB50D0">
      <w:pPr>
        <w:tabs>
          <w:tab w:val="left" w:pos="1560"/>
        </w:tabs>
        <w:spacing w:line="276" w:lineRule="auto"/>
        <w:jc w:val="center"/>
        <w:rPr>
          <w:b/>
          <w:sz w:val="24"/>
          <w:szCs w:val="24"/>
        </w:rPr>
      </w:pPr>
      <w:r w:rsidRPr="0076476B">
        <w:rPr>
          <w:b/>
          <w:sz w:val="24"/>
          <w:szCs w:val="24"/>
        </w:rPr>
        <w:t>Предварительные итоги</w:t>
      </w:r>
    </w:p>
    <w:p w:rsidR="00A50BA4" w:rsidRPr="0076476B" w:rsidRDefault="00A50BA4" w:rsidP="00F76355">
      <w:pPr>
        <w:spacing w:line="276" w:lineRule="auto"/>
        <w:jc w:val="center"/>
        <w:rPr>
          <w:b/>
          <w:sz w:val="24"/>
          <w:szCs w:val="24"/>
          <w:shd w:val="clear" w:color="auto" w:fill="FFFF00"/>
        </w:rPr>
      </w:pPr>
      <w:r w:rsidRPr="0076476B">
        <w:rPr>
          <w:b/>
          <w:sz w:val="24"/>
          <w:szCs w:val="24"/>
        </w:rPr>
        <w:t>социально – экономического развития</w:t>
      </w:r>
      <w:r w:rsidR="001F6122">
        <w:rPr>
          <w:b/>
          <w:sz w:val="24"/>
          <w:szCs w:val="24"/>
        </w:rPr>
        <w:t xml:space="preserve"> городского округа Тольятти за </w:t>
      </w:r>
      <w:r w:rsidR="005B2A1C">
        <w:rPr>
          <w:b/>
          <w:sz w:val="24"/>
          <w:szCs w:val="24"/>
        </w:rPr>
        <w:t>1</w:t>
      </w:r>
      <w:r w:rsidR="00A55BAC">
        <w:rPr>
          <w:b/>
          <w:sz w:val="24"/>
          <w:szCs w:val="24"/>
        </w:rPr>
        <w:t xml:space="preserve"> полугодие</w:t>
      </w:r>
      <w:r w:rsidRPr="0076476B">
        <w:rPr>
          <w:b/>
          <w:sz w:val="24"/>
          <w:szCs w:val="24"/>
        </w:rPr>
        <w:t xml:space="preserve"> 201</w:t>
      </w:r>
      <w:r w:rsidR="005A34F1">
        <w:rPr>
          <w:b/>
          <w:sz w:val="24"/>
          <w:szCs w:val="24"/>
        </w:rPr>
        <w:t>7</w:t>
      </w:r>
      <w:r w:rsidRPr="0076476B">
        <w:rPr>
          <w:b/>
          <w:sz w:val="24"/>
          <w:szCs w:val="24"/>
        </w:rPr>
        <w:t xml:space="preserve"> года и ожидаемые итоги социально – экономического развития городского округа Тольятти за 201</w:t>
      </w:r>
      <w:r w:rsidR="005A34F1">
        <w:rPr>
          <w:b/>
          <w:sz w:val="24"/>
          <w:szCs w:val="24"/>
        </w:rPr>
        <w:t>7</w:t>
      </w:r>
      <w:r w:rsidRPr="0076476B">
        <w:rPr>
          <w:b/>
          <w:sz w:val="24"/>
          <w:szCs w:val="24"/>
        </w:rPr>
        <w:t xml:space="preserve"> год</w:t>
      </w:r>
    </w:p>
    <w:p w:rsidR="00A50BA4" w:rsidRPr="0076476B" w:rsidRDefault="00A50BA4" w:rsidP="00A423B6">
      <w:pPr>
        <w:spacing w:line="276" w:lineRule="auto"/>
        <w:ind w:firstLine="709"/>
        <w:jc w:val="center"/>
        <w:rPr>
          <w:b/>
          <w:sz w:val="24"/>
          <w:szCs w:val="24"/>
          <w:shd w:val="clear" w:color="auto" w:fill="FFFF00"/>
        </w:rPr>
      </w:pPr>
    </w:p>
    <w:p w:rsidR="00526B71" w:rsidRPr="006230E3" w:rsidRDefault="00526B71" w:rsidP="005B2A1C">
      <w:pPr>
        <w:pStyle w:val="afc"/>
        <w:widowControl w:val="0"/>
        <w:numPr>
          <w:ilvl w:val="0"/>
          <w:numId w:val="5"/>
        </w:numPr>
        <w:tabs>
          <w:tab w:val="left" w:pos="142"/>
          <w:tab w:val="left" w:pos="9720"/>
        </w:tabs>
        <w:suppressAutoHyphens w:val="0"/>
        <w:spacing w:line="276" w:lineRule="auto"/>
        <w:ind w:left="0" w:right="-1" w:firstLine="709"/>
        <w:jc w:val="both"/>
        <w:textAlignment w:val="top"/>
        <w:rPr>
          <w:szCs w:val="24"/>
        </w:rPr>
      </w:pPr>
      <w:r w:rsidRPr="00B9460E">
        <w:rPr>
          <w:bCs/>
        </w:rPr>
        <w:t xml:space="preserve">В 2017 году в экономике города наблюдается разнонаправленная динамика </w:t>
      </w:r>
      <w:r w:rsidR="005B2A1C" w:rsidRPr="00B9460E">
        <w:rPr>
          <w:bCs/>
        </w:rPr>
        <w:t>развития</w:t>
      </w:r>
      <w:r w:rsidRPr="00B9460E">
        <w:rPr>
          <w:bCs/>
        </w:rPr>
        <w:t>.</w:t>
      </w:r>
      <w:r w:rsidRPr="006230E3">
        <w:rPr>
          <w:bCs/>
        </w:rPr>
        <w:t xml:space="preserve"> Одной из важнейших тенденций стало в</w:t>
      </w:r>
      <w:r w:rsidRPr="00723B2A">
        <w:t>озобнов</w:t>
      </w:r>
      <w:r>
        <w:t xml:space="preserve">ление </w:t>
      </w:r>
      <w:r w:rsidRPr="00723B2A">
        <w:t>рост</w:t>
      </w:r>
      <w:r>
        <w:t>а</w:t>
      </w:r>
      <w:r w:rsidRPr="00723B2A">
        <w:t xml:space="preserve"> </w:t>
      </w:r>
      <w:r w:rsidRPr="007B26A5">
        <w:t>промышленного производства</w:t>
      </w:r>
      <w:r>
        <w:t xml:space="preserve">, </w:t>
      </w:r>
      <w:r w:rsidRPr="007B26A5">
        <w:t xml:space="preserve">обусловленного, в первую очередь, </w:t>
      </w:r>
      <w:r w:rsidR="00C071EB">
        <w:t>увеличением</w:t>
      </w:r>
      <w:r w:rsidRPr="007B26A5">
        <w:t xml:space="preserve"> объемов производства </w:t>
      </w:r>
      <w:r>
        <w:t>в автомобилестроении</w:t>
      </w:r>
      <w:r w:rsidRPr="007B26A5">
        <w:t>.</w:t>
      </w:r>
      <w:r>
        <w:t xml:space="preserve"> </w:t>
      </w:r>
    </w:p>
    <w:p w:rsidR="00526B71" w:rsidRPr="00526B71" w:rsidRDefault="00526B71" w:rsidP="005B2A1C">
      <w:pPr>
        <w:pStyle w:val="afc"/>
        <w:widowControl w:val="0"/>
        <w:numPr>
          <w:ilvl w:val="0"/>
          <w:numId w:val="5"/>
        </w:numPr>
        <w:tabs>
          <w:tab w:val="left" w:pos="142"/>
          <w:tab w:val="left" w:pos="9720"/>
        </w:tabs>
        <w:suppressAutoHyphens w:val="0"/>
        <w:spacing w:line="276" w:lineRule="auto"/>
        <w:ind w:left="0" w:right="-1" w:firstLine="709"/>
        <w:jc w:val="both"/>
        <w:textAlignment w:val="top"/>
        <w:rPr>
          <w:szCs w:val="24"/>
        </w:rPr>
      </w:pPr>
      <w:r w:rsidRPr="00C071EB">
        <w:rPr>
          <w:szCs w:val="24"/>
        </w:rPr>
        <w:t>С</w:t>
      </w:r>
      <w:r w:rsidR="006B3224" w:rsidRPr="00C071EB">
        <w:rPr>
          <w:szCs w:val="24"/>
        </w:rPr>
        <w:t>табилизирована ситуация на рынке труда, отмечается рост р</w:t>
      </w:r>
      <w:r w:rsidRPr="00C071EB">
        <w:rPr>
          <w:szCs w:val="24"/>
        </w:rPr>
        <w:t>еальной заработной платы.</w:t>
      </w:r>
      <w:r>
        <w:rPr>
          <w:szCs w:val="24"/>
        </w:rPr>
        <w:t xml:space="preserve"> </w:t>
      </w:r>
      <w:r>
        <w:t>Продолжается замедление темпов инфляции,</w:t>
      </w:r>
      <w:r w:rsidRPr="00C071EB">
        <w:rPr>
          <w:bCs/>
        </w:rPr>
        <w:t xml:space="preserve"> котор</w:t>
      </w:r>
      <w:r w:rsidR="00F965A3">
        <w:rPr>
          <w:bCs/>
        </w:rPr>
        <w:t>ые</w:t>
      </w:r>
      <w:r w:rsidRPr="00C071EB">
        <w:rPr>
          <w:bCs/>
        </w:rPr>
        <w:t xml:space="preserve"> складыва</w:t>
      </w:r>
      <w:r w:rsidR="00F965A3">
        <w:rPr>
          <w:bCs/>
        </w:rPr>
        <w:t>ю</w:t>
      </w:r>
      <w:r w:rsidRPr="00C071EB">
        <w:rPr>
          <w:bCs/>
        </w:rPr>
        <w:t>тся</w:t>
      </w:r>
      <w:r>
        <w:rPr>
          <w:bCs/>
        </w:rPr>
        <w:t xml:space="preserve"> </w:t>
      </w:r>
      <w:r w:rsidRPr="00381866">
        <w:t>ниже</w:t>
      </w:r>
      <w:r>
        <w:t>, чем в целом по Российской Федерации</w:t>
      </w:r>
      <w:r w:rsidRPr="00C071EB">
        <w:rPr>
          <w:szCs w:val="24"/>
        </w:rPr>
        <w:t>.</w:t>
      </w:r>
    </w:p>
    <w:p w:rsidR="00526B71" w:rsidRPr="00526B71" w:rsidRDefault="00526B71" w:rsidP="005B2A1C">
      <w:pPr>
        <w:pStyle w:val="afc"/>
        <w:widowControl w:val="0"/>
        <w:numPr>
          <w:ilvl w:val="0"/>
          <w:numId w:val="5"/>
        </w:numPr>
        <w:tabs>
          <w:tab w:val="left" w:pos="142"/>
          <w:tab w:val="left" w:pos="9720"/>
        </w:tabs>
        <w:suppressAutoHyphens w:val="0"/>
        <w:spacing w:line="276" w:lineRule="auto"/>
        <w:ind w:left="0" w:right="-1" w:firstLine="709"/>
        <w:jc w:val="both"/>
        <w:textAlignment w:val="top"/>
        <w:rPr>
          <w:szCs w:val="24"/>
        </w:rPr>
      </w:pPr>
      <w:r>
        <w:t>Вместе с тем, в текущем году продолжилось снижение объемов инвестиций в основной капитал и объемов жилищного строительства.</w:t>
      </w:r>
    </w:p>
    <w:p w:rsidR="006B3224" w:rsidRDefault="00526B71" w:rsidP="005B2A1C">
      <w:pPr>
        <w:spacing w:line="276" w:lineRule="auto"/>
        <w:ind w:firstLine="709"/>
        <w:jc w:val="both"/>
        <w:rPr>
          <w:sz w:val="24"/>
          <w:szCs w:val="24"/>
        </w:rPr>
      </w:pPr>
      <w:r>
        <w:rPr>
          <w:sz w:val="24"/>
          <w:szCs w:val="24"/>
        </w:rPr>
        <w:t>В</w:t>
      </w:r>
      <w:r w:rsidR="006B3224" w:rsidRPr="00287CE2">
        <w:rPr>
          <w:sz w:val="24"/>
          <w:szCs w:val="24"/>
        </w:rPr>
        <w:t xml:space="preserve"> рейтинге городских округов Самарской области, проводимом министерством экономического развития, инвестиций и торговли Самарской области,</w:t>
      </w:r>
      <w:r w:rsidR="006B3224">
        <w:rPr>
          <w:sz w:val="24"/>
          <w:szCs w:val="24"/>
        </w:rPr>
        <w:t xml:space="preserve"> </w:t>
      </w:r>
      <w:r w:rsidR="004168B6">
        <w:rPr>
          <w:sz w:val="24"/>
          <w:szCs w:val="24"/>
        </w:rPr>
        <w:t>городской округ Тольятти по результатам 1 полугодия 2017 года занял 4 место, уступив Самаре, Отрадному и Новокуйбышевску.</w:t>
      </w:r>
      <w:r w:rsidR="006B3224">
        <w:rPr>
          <w:sz w:val="24"/>
          <w:szCs w:val="24"/>
        </w:rPr>
        <w:t xml:space="preserve"> </w:t>
      </w:r>
    </w:p>
    <w:p w:rsidR="0004675F" w:rsidRDefault="00A50BA4" w:rsidP="005B2A1C">
      <w:pPr>
        <w:pStyle w:val="1f"/>
        <w:spacing w:line="276" w:lineRule="auto"/>
        <w:ind w:firstLine="709"/>
        <w:jc w:val="both"/>
        <w:rPr>
          <w:rFonts w:ascii="Times New Roman" w:hAnsi="Times New Roman" w:cs="Times New Roman"/>
          <w:sz w:val="24"/>
          <w:szCs w:val="24"/>
        </w:rPr>
      </w:pPr>
      <w:r w:rsidRPr="00423ACC">
        <w:rPr>
          <w:rFonts w:ascii="Times New Roman" w:hAnsi="Times New Roman" w:cs="Times New Roman"/>
          <w:bCs/>
          <w:sz w:val="24"/>
          <w:szCs w:val="24"/>
        </w:rPr>
        <w:t xml:space="preserve">Основные показатели социально-экономического развития </w:t>
      </w:r>
      <w:r w:rsidRPr="00423ACC">
        <w:rPr>
          <w:rFonts w:ascii="Times New Roman" w:hAnsi="Times New Roman" w:cs="Times New Roman"/>
          <w:sz w:val="24"/>
          <w:szCs w:val="24"/>
        </w:rPr>
        <w:t>экономики городского округа Тольятти представлены в следующей таблице:</w:t>
      </w:r>
    </w:p>
    <w:tbl>
      <w:tblPr>
        <w:tblW w:w="9356" w:type="dxa"/>
        <w:tblInd w:w="108" w:type="dxa"/>
        <w:tblLayout w:type="fixed"/>
        <w:tblLook w:val="0000" w:firstRow="0" w:lastRow="0" w:firstColumn="0" w:lastColumn="0" w:noHBand="0" w:noVBand="0"/>
      </w:tblPr>
      <w:tblGrid>
        <w:gridCol w:w="3402"/>
        <w:gridCol w:w="1134"/>
        <w:gridCol w:w="1134"/>
        <w:gridCol w:w="1134"/>
        <w:gridCol w:w="1276"/>
        <w:gridCol w:w="1276"/>
      </w:tblGrid>
      <w:tr w:rsidR="00A50BA4" w:rsidRPr="00943D49" w:rsidTr="00B9460E">
        <w:trPr>
          <w:tblHeader/>
        </w:trPr>
        <w:tc>
          <w:tcPr>
            <w:tcW w:w="3402" w:type="dxa"/>
            <w:vMerge w:val="restart"/>
            <w:tcBorders>
              <w:top w:val="single" w:sz="4" w:space="0" w:color="000000"/>
              <w:left w:val="single" w:sz="4" w:space="0" w:color="000000"/>
              <w:bottom w:val="single" w:sz="4" w:space="0" w:color="000000"/>
            </w:tcBorders>
          </w:tcPr>
          <w:p w:rsidR="00A50BA4" w:rsidRPr="00943D49" w:rsidRDefault="00A50BA4" w:rsidP="00434444">
            <w:pPr>
              <w:snapToGrid w:val="0"/>
              <w:spacing w:line="276" w:lineRule="auto"/>
              <w:ind w:firstLine="709"/>
              <w:jc w:val="both"/>
              <w:rPr>
                <w:sz w:val="24"/>
                <w:szCs w:val="24"/>
                <w:shd w:val="clear" w:color="auto" w:fill="FFFF00"/>
              </w:rPr>
            </w:pPr>
          </w:p>
          <w:p w:rsidR="00A50BA4" w:rsidRPr="00943D49" w:rsidRDefault="00A50BA4" w:rsidP="00434444">
            <w:pPr>
              <w:snapToGrid w:val="0"/>
              <w:spacing w:line="276" w:lineRule="auto"/>
              <w:ind w:firstLine="709"/>
              <w:jc w:val="both"/>
              <w:rPr>
                <w:sz w:val="24"/>
                <w:szCs w:val="24"/>
                <w:shd w:val="clear" w:color="auto" w:fill="FFFF00"/>
              </w:rPr>
            </w:pPr>
          </w:p>
        </w:tc>
        <w:tc>
          <w:tcPr>
            <w:tcW w:w="1134" w:type="dxa"/>
            <w:vMerge w:val="restart"/>
            <w:tcBorders>
              <w:top w:val="single" w:sz="4" w:space="0" w:color="000000"/>
              <w:left w:val="single" w:sz="4" w:space="0" w:color="000000"/>
              <w:right w:val="single" w:sz="4" w:space="0" w:color="000000"/>
            </w:tcBorders>
          </w:tcPr>
          <w:p w:rsidR="00A50BA4" w:rsidRPr="00943D49" w:rsidRDefault="00A50BA4" w:rsidP="00CF1CBC">
            <w:pPr>
              <w:jc w:val="center"/>
              <w:rPr>
                <w:sz w:val="24"/>
                <w:szCs w:val="24"/>
              </w:rPr>
            </w:pPr>
            <w:r w:rsidRPr="00943D49">
              <w:rPr>
                <w:sz w:val="24"/>
                <w:szCs w:val="24"/>
              </w:rPr>
              <w:t>Ед. измерения</w:t>
            </w:r>
          </w:p>
        </w:tc>
        <w:tc>
          <w:tcPr>
            <w:tcW w:w="2268" w:type="dxa"/>
            <w:gridSpan w:val="2"/>
            <w:tcBorders>
              <w:top w:val="single" w:sz="4" w:space="0" w:color="000000"/>
              <w:left w:val="single" w:sz="4" w:space="0" w:color="000000"/>
              <w:bottom w:val="single" w:sz="4" w:space="0" w:color="000000"/>
            </w:tcBorders>
            <w:vAlign w:val="center"/>
          </w:tcPr>
          <w:p w:rsidR="00A50BA4" w:rsidRPr="00943D49" w:rsidRDefault="00A50BA4" w:rsidP="005A34F1">
            <w:pPr>
              <w:jc w:val="center"/>
              <w:rPr>
                <w:sz w:val="24"/>
                <w:szCs w:val="24"/>
              </w:rPr>
            </w:pPr>
            <w:r w:rsidRPr="00943D49">
              <w:rPr>
                <w:sz w:val="24"/>
                <w:szCs w:val="24"/>
              </w:rPr>
              <w:t>201</w:t>
            </w:r>
            <w:r w:rsidR="005A34F1">
              <w:rPr>
                <w:sz w:val="24"/>
                <w:szCs w:val="24"/>
              </w:rPr>
              <w:t>6</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5A34F1">
            <w:pPr>
              <w:jc w:val="center"/>
              <w:rPr>
                <w:sz w:val="24"/>
                <w:szCs w:val="24"/>
                <w:shd w:val="clear" w:color="auto" w:fill="FFFF00"/>
              </w:rPr>
            </w:pPr>
            <w:r w:rsidRPr="00943D49">
              <w:rPr>
                <w:sz w:val="24"/>
                <w:szCs w:val="24"/>
              </w:rPr>
              <w:t>201</w:t>
            </w:r>
            <w:r w:rsidR="005A34F1">
              <w:rPr>
                <w:sz w:val="24"/>
                <w:szCs w:val="24"/>
              </w:rPr>
              <w:t>7</w:t>
            </w:r>
          </w:p>
        </w:tc>
      </w:tr>
      <w:tr w:rsidR="00A50BA4" w:rsidRPr="00943D49" w:rsidTr="00B9460E">
        <w:trPr>
          <w:tblHeader/>
        </w:trPr>
        <w:tc>
          <w:tcPr>
            <w:tcW w:w="3402" w:type="dxa"/>
            <w:vMerge/>
            <w:tcBorders>
              <w:top w:val="single" w:sz="4" w:space="0" w:color="000000"/>
              <w:left w:val="single" w:sz="4" w:space="0" w:color="000000"/>
              <w:bottom w:val="single" w:sz="4" w:space="0" w:color="000000"/>
            </w:tcBorders>
          </w:tcPr>
          <w:p w:rsidR="00A50BA4" w:rsidRPr="00943D49" w:rsidRDefault="00A50BA4" w:rsidP="00434444">
            <w:pPr>
              <w:snapToGrid w:val="0"/>
              <w:spacing w:line="276" w:lineRule="auto"/>
              <w:ind w:firstLine="709"/>
              <w:jc w:val="both"/>
              <w:rPr>
                <w:sz w:val="24"/>
                <w:szCs w:val="24"/>
                <w:shd w:val="clear" w:color="auto" w:fill="FFFF00"/>
              </w:rPr>
            </w:pPr>
          </w:p>
        </w:tc>
        <w:tc>
          <w:tcPr>
            <w:tcW w:w="1134" w:type="dxa"/>
            <w:vMerge/>
            <w:tcBorders>
              <w:left w:val="single" w:sz="4" w:space="0" w:color="000000"/>
              <w:bottom w:val="single" w:sz="4" w:space="0" w:color="000000"/>
              <w:right w:val="single" w:sz="4" w:space="0" w:color="000000"/>
            </w:tcBorders>
          </w:tcPr>
          <w:p w:rsidR="00A50BA4" w:rsidRPr="00943D49" w:rsidRDefault="00A50BA4" w:rsidP="00CF1CBC">
            <w:pPr>
              <w:ind w:firstLine="709"/>
              <w:jc w:val="center"/>
              <w:rPr>
                <w:sz w:val="24"/>
                <w:szCs w:val="24"/>
              </w:rPr>
            </w:pPr>
          </w:p>
        </w:tc>
        <w:tc>
          <w:tcPr>
            <w:tcW w:w="1134" w:type="dxa"/>
            <w:tcBorders>
              <w:top w:val="single" w:sz="4" w:space="0" w:color="000000"/>
              <w:left w:val="single" w:sz="4" w:space="0" w:color="000000"/>
              <w:bottom w:val="single" w:sz="4" w:space="0" w:color="000000"/>
            </w:tcBorders>
            <w:vAlign w:val="center"/>
          </w:tcPr>
          <w:p w:rsidR="00A50BA4" w:rsidRPr="00943D49" w:rsidRDefault="00A50BA4" w:rsidP="00CF1CBC">
            <w:pPr>
              <w:jc w:val="center"/>
              <w:rPr>
                <w:sz w:val="24"/>
                <w:szCs w:val="24"/>
              </w:rPr>
            </w:pPr>
            <w:r w:rsidRPr="00943D49">
              <w:rPr>
                <w:sz w:val="24"/>
                <w:szCs w:val="24"/>
              </w:rPr>
              <w:t>январь-июнь</w:t>
            </w:r>
          </w:p>
        </w:tc>
        <w:tc>
          <w:tcPr>
            <w:tcW w:w="1134" w:type="dxa"/>
            <w:tcBorders>
              <w:top w:val="single" w:sz="4" w:space="0" w:color="000000"/>
              <w:left w:val="single" w:sz="4" w:space="0" w:color="000000"/>
              <w:bottom w:val="single" w:sz="4" w:space="0" w:color="000000"/>
            </w:tcBorders>
            <w:vAlign w:val="center"/>
          </w:tcPr>
          <w:p w:rsidR="00A50BA4" w:rsidRPr="00943D49" w:rsidRDefault="00A50BA4" w:rsidP="00CF1CBC">
            <w:pPr>
              <w:jc w:val="center"/>
              <w:rPr>
                <w:sz w:val="24"/>
                <w:szCs w:val="24"/>
              </w:rPr>
            </w:pPr>
            <w:r w:rsidRPr="00943D49">
              <w:rPr>
                <w:sz w:val="24"/>
                <w:szCs w:val="24"/>
              </w:rPr>
              <w:t>год</w:t>
            </w:r>
          </w:p>
        </w:tc>
        <w:tc>
          <w:tcPr>
            <w:tcW w:w="1276" w:type="dxa"/>
            <w:tcBorders>
              <w:top w:val="single" w:sz="4" w:space="0" w:color="000000"/>
              <w:left w:val="single" w:sz="4" w:space="0" w:color="000000"/>
              <w:bottom w:val="single" w:sz="4" w:space="0" w:color="000000"/>
            </w:tcBorders>
            <w:vAlign w:val="center"/>
          </w:tcPr>
          <w:p w:rsidR="00A50BA4" w:rsidRPr="00943D49" w:rsidRDefault="00A50BA4" w:rsidP="00CF1CBC">
            <w:pPr>
              <w:jc w:val="center"/>
              <w:rPr>
                <w:sz w:val="24"/>
                <w:szCs w:val="24"/>
              </w:rPr>
            </w:pPr>
            <w:r w:rsidRPr="00943D49">
              <w:rPr>
                <w:sz w:val="24"/>
                <w:szCs w:val="24"/>
              </w:rPr>
              <w:t>январь-июнь</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год</w:t>
            </w:r>
          </w:p>
          <w:p w:rsidR="00A50BA4" w:rsidRPr="00943D49" w:rsidRDefault="00A50BA4" w:rsidP="00CF1CBC">
            <w:pPr>
              <w:jc w:val="center"/>
              <w:rPr>
                <w:sz w:val="24"/>
                <w:szCs w:val="24"/>
              </w:rPr>
            </w:pPr>
            <w:r w:rsidRPr="00943D49">
              <w:rPr>
                <w:sz w:val="24"/>
                <w:szCs w:val="24"/>
              </w:rPr>
              <w:t>(оценка)</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snapToGrid w:val="0"/>
              <w:rPr>
                <w:sz w:val="24"/>
                <w:szCs w:val="24"/>
              </w:rPr>
            </w:pPr>
            <w:r w:rsidRPr="00943D49">
              <w:rPr>
                <w:sz w:val="24"/>
                <w:szCs w:val="24"/>
              </w:rPr>
              <w:t>Индекс потребительских цен, декабрь к декабрю</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9B2067" w:rsidRDefault="00A50BA4" w:rsidP="009B2067">
            <w:pPr>
              <w:jc w:val="center"/>
              <w:rPr>
                <w:sz w:val="24"/>
                <w:szCs w:val="24"/>
              </w:rPr>
            </w:pPr>
            <w:r w:rsidRPr="009B2067">
              <w:rPr>
                <w:sz w:val="24"/>
                <w:szCs w:val="24"/>
              </w:rPr>
              <w:t>10</w:t>
            </w:r>
            <w:r w:rsidR="009B2067" w:rsidRPr="009B2067">
              <w:rPr>
                <w:sz w:val="24"/>
                <w:szCs w:val="24"/>
              </w:rPr>
              <w:t>3</w:t>
            </w:r>
            <w:r w:rsidRPr="009B2067">
              <w:rPr>
                <w:sz w:val="24"/>
                <w:szCs w:val="24"/>
              </w:rPr>
              <w:t>,</w:t>
            </w:r>
            <w:r w:rsidR="009B2067" w:rsidRPr="009B2067">
              <w:rPr>
                <w:sz w:val="24"/>
                <w:szCs w:val="24"/>
              </w:rPr>
              <w:t>0</w:t>
            </w:r>
          </w:p>
        </w:tc>
        <w:tc>
          <w:tcPr>
            <w:tcW w:w="1134" w:type="dxa"/>
            <w:tcBorders>
              <w:top w:val="single" w:sz="4" w:space="0" w:color="000000"/>
              <w:left w:val="single" w:sz="4" w:space="0" w:color="000000"/>
              <w:bottom w:val="single" w:sz="4" w:space="0" w:color="000000"/>
            </w:tcBorders>
            <w:vAlign w:val="center"/>
          </w:tcPr>
          <w:p w:rsidR="00A50BA4" w:rsidRPr="009B2067" w:rsidRDefault="00A50BA4" w:rsidP="009B2067">
            <w:pPr>
              <w:jc w:val="center"/>
              <w:rPr>
                <w:sz w:val="24"/>
                <w:szCs w:val="24"/>
              </w:rPr>
            </w:pPr>
            <w:r w:rsidRPr="009B2067">
              <w:rPr>
                <w:sz w:val="24"/>
                <w:szCs w:val="24"/>
              </w:rPr>
              <w:t>1</w:t>
            </w:r>
            <w:r w:rsidR="009B2067" w:rsidRPr="009B2067">
              <w:rPr>
                <w:sz w:val="24"/>
                <w:szCs w:val="24"/>
              </w:rPr>
              <w:t>05</w:t>
            </w:r>
            <w:r w:rsidRPr="009B2067">
              <w:rPr>
                <w:sz w:val="24"/>
                <w:szCs w:val="24"/>
              </w:rPr>
              <w:t>,</w:t>
            </w:r>
            <w:r w:rsidR="009B2067" w:rsidRPr="009B2067">
              <w:rPr>
                <w:sz w:val="24"/>
                <w:szCs w:val="24"/>
              </w:rPr>
              <w:t>2</w:t>
            </w:r>
          </w:p>
        </w:tc>
        <w:tc>
          <w:tcPr>
            <w:tcW w:w="1276" w:type="dxa"/>
            <w:tcBorders>
              <w:top w:val="single" w:sz="4" w:space="0" w:color="000000"/>
              <w:left w:val="single" w:sz="4" w:space="0" w:color="000000"/>
              <w:bottom w:val="single" w:sz="4" w:space="0" w:color="000000"/>
            </w:tcBorders>
            <w:vAlign w:val="center"/>
          </w:tcPr>
          <w:p w:rsidR="00A50BA4" w:rsidRPr="009B2067" w:rsidRDefault="00A50BA4" w:rsidP="009B2067">
            <w:pPr>
              <w:jc w:val="center"/>
              <w:rPr>
                <w:sz w:val="24"/>
                <w:szCs w:val="24"/>
              </w:rPr>
            </w:pPr>
            <w:r w:rsidRPr="009B2067">
              <w:rPr>
                <w:sz w:val="24"/>
                <w:szCs w:val="24"/>
              </w:rPr>
              <w:t>10</w:t>
            </w:r>
            <w:r w:rsidR="009B2067" w:rsidRPr="009B2067">
              <w:rPr>
                <w:sz w:val="24"/>
                <w:szCs w:val="24"/>
              </w:rPr>
              <w:t>1</w:t>
            </w:r>
            <w:r w:rsidRPr="009B2067">
              <w:rPr>
                <w:sz w:val="24"/>
                <w:szCs w:val="24"/>
              </w:rPr>
              <w:t>,</w:t>
            </w:r>
            <w:r w:rsidR="009B2067" w:rsidRPr="009B2067">
              <w:rPr>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9B2067" w:rsidRDefault="00A50BA4" w:rsidP="009B2067">
            <w:pPr>
              <w:jc w:val="center"/>
              <w:rPr>
                <w:sz w:val="24"/>
                <w:szCs w:val="24"/>
              </w:rPr>
            </w:pPr>
            <w:r w:rsidRPr="009B2067">
              <w:rPr>
                <w:sz w:val="24"/>
                <w:szCs w:val="24"/>
              </w:rPr>
              <w:t>10</w:t>
            </w:r>
            <w:r w:rsidR="009B2067" w:rsidRPr="009B2067">
              <w:rPr>
                <w:sz w:val="24"/>
                <w:szCs w:val="24"/>
              </w:rPr>
              <w:t>4</w:t>
            </w:r>
            <w:r w:rsidRPr="009B2067">
              <w:rPr>
                <w:sz w:val="24"/>
                <w:szCs w:val="24"/>
              </w:rPr>
              <w:t>,</w:t>
            </w:r>
            <w:r w:rsidR="009B2067" w:rsidRPr="009B2067">
              <w:rPr>
                <w:sz w:val="24"/>
                <w:szCs w:val="24"/>
              </w:rPr>
              <w:t>0</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snapToGrid w:val="0"/>
              <w:rPr>
                <w:sz w:val="24"/>
                <w:szCs w:val="24"/>
              </w:rPr>
            </w:pPr>
            <w:r w:rsidRPr="00943D49">
              <w:rPr>
                <w:sz w:val="24"/>
                <w:szCs w:val="24"/>
              </w:rPr>
              <w:t xml:space="preserve">Объем отгруженной промышленной продукции собственного производства (по разделам </w:t>
            </w:r>
            <w:r w:rsidR="00E55EDC">
              <w:rPr>
                <w:sz w:val="24"/>
                <w:szCs w:val="24"/>
                <w:lang w:val="en-US"/>
              </w:rPr>
              <w:t>C</w:t>
            </w:r>
            <w:r w:rsidR="00E55EDC" w:rsidRPr="00E55EDC">
              <w:rPr>
                <w:sz w:val="24"/>
                <w:szCs w:val="24"/>
              </w:rPr>
              <w:t>,</w:t>
            </w:r>
            <w:r w:rsidRPr="00943D49">
              <w:rPr>
                <w:sz w:val="24"/>
                <w:szCs w:val="24"/>
              </w:rPr>
              <w:t xml:space="preserve">D,E) </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млрд.</w:t>
            </w:r>
            <w:r>
              <w:rPr>
                <w:sz w:val="24"/>
                <w:szCs w:val="24"/>
              </w:rPr>
              <w:t xml:space="preserve"> </w:t>
            </w:r>
            <w:r w:rsidRPr="00943D49">
              <w:rPr>
                <w:sz w:val="24"/>
                <w:szCs w:val="24"/>
              </w:rPr>
              <w:t>руб.</w:t>
            </w:r>
          </w:p>
        </w:tc>
        <w:tc>
          <w:tcPr>
            <w:tcW w:w="1134"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rPr>
            </w:pPr>
            <w:r w:rsidRPr="00E55EDC">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rPr>
            </w:pPr>
            <w:r w:rsidRPr="00E55EDC">
              <w:rPr>
                <w:sz w:val="24"/>
                <w:szCs w:val="24"/>
              </w:rPr>
              <w:t>-</w:t>
            </w:r>
          </w:p>
        </w:tc>
        <w:tc>
          <w:tcPr>
            <w:tcW w:w="1276"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highlight w:val="yellow"/>
                <w:lang w:val="en-US"/>
              </w:rPr>
            </w:pPr>
            <w:r w:rsidRPr="00E55EDC">
              <w:rPr>
                <w:sz w:val="24"/>
                <w:szCs w:val="24"/>
              </w:rPr>
              <w:t>210,2</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E55EDC" w:rsidRDefault="00E55EDC" w:rsidP="00CF1CBC">
            <w:pPr>
              <w:jc w:val="center"/>
              <w:rPr>
                <w:sz w:val="24"/>
                <w:szCs w:val="24"/>
                <w:highlight w:val="yellow"/>
              </w:rPr>
            </w:pPr>
            <w:r w:rsidRPr="00E55EDC">
              <w:rPr>
                <w:sz w:val="24"/>
                <w:szCs w:val="24"/>
              </w:rPr>
              <w:t>423,8</w:t>
            </w:r>
          </w:p>
        </w:tc>
      </w:tr>
      <w:tr w:rsidR="00A50BA4" w:rsidRPr="00E55EDC"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Индекс промышленного производства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rPr>
            </w:pPr>
            <w:r w:rsidRPr="00E55EDC">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rPr>
            </w:pPr>
            <w:r w:rsidRPr="00E55EDC">
              <w:rPr>
                <w:sz w:val="24"/>
                <w:szCs w:val="24"/>
              </w:rPr>
              <w:t>-</w:t>
            </w:r>
          </w:p>
        </w:tc>
        <w:tc>
          <w:tcPr>
            <w:tcW w:w="1276" w:type="dxa"/>
            <w:tcBorders>
              <w:top w:val="single" w:sz="4" w:space="0" w:color="000000"/>
              <w:left w:val="single" w:sz="4" w:space="0" w:color="000000"/>
              <w:bottom w:val="single" w:sz="4" w:space="0" w:color="000000"/>
            </w:tcBorders>
            <w:vAlign w:val="center"/>
          </w:tcPr>
          <w:p w:rsidR="00A50BA4" w:rsidRPr="00E55EDC" w:rsidRDefault="00E55EDC" w:rsidP="00CF1CBC">
            <w:pPr>
              <w:jc w:val="center"/>
              <w:rPr>
                <w:sz w:val="24"/>
                <w:szCs w:val="24"/>
              </w:rPr>
            </w:pPr>
            <w:r w:rsidRPr="00E55EDC">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E55EDC" w:rsidRDefault="00E55EDC" w:rsidP="00CF1CBC">
            <w:pPr>
              <w:jc w:val="center"/>
              <w:rPr>
                <w:sz w:val="24"/>
                <w:szCs w:val="24"/>
              </w:rPr>
            </w:pPr>
            <w:r w:rsidRPr="00E55EDC">
              <w:rPr>
                <w:sz w:val="24"/>
                <w:szCs w:val="24"/>
              </w:rPr>
              <w:t>105,2</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Инвестиции в основной капитал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млрд.</w:t>
            </w:r>
            <w:r>
              <w:rPr>
                <w:sz w:val="24"/>
                <w:szCs w:val="24"/>
              </w:rPr>
              <w:t xml:space="preserve"> </w:t>
            </w:r>
            <w:r w:rsidRPr="00943D49">
              <w:rPr>
                <w:sz w:val="24"/>
                <w:szCs w:val="24"/>
              </w:rPr>
              <w:t>руб.</w:t>
            </w:r>
          </w:p>
        </w:tc>
        <w:tc>
          <w:tcPr>
            <w:tcW w:w="1134" w:type="dxa"/>
            <w:tcBorders>
              <w:top w:val="single" w:sz="4" w:space="0" w:color="000000"/>
              <w:left w:val="single" w:sz="4" w:space="0" w:color="000000"/>
              <w:bottom w:val="single" w:sz="4" w:space="0" w:color="000000"/>
            </w:tcBorders>
            <w:vAlign w:val="center"/>
          </w:tcPr>
          <w:p w:rsidR="00A50BA4" w:rsidRPr="00423ACC" w:rsidRDefault="00423ACC" w:rsidP="00CF1CBC">
            <w:pPr>
              <w:jc w:val="center"/>
              <w:rPr>
                <w:sz w:val="24"/>
                <w:szCs w:val="24"/>
              </w:rPr>
            </w:pPr>
            <w:r w:rsidRPr="00423ACC">
              <w:rPr>
                <w:sz w:val="24"/>
                <w:szCs w:val="24"/>
              </w:rPr>
              <w:t>12,3</w:t>
            </w:r>
          </w:p>
        </w:tc>
        <w:tc>
          <w:tcPr>
            <w:tcW w:w="1134" w:type="dxa"/>
            <w:tcBorders>
              <w:top w:val="single" w:sz="4" w:space="0" w:color="000000"/>
              <w:left w:val="single" w:sz="4" w:space="0" w:color="000000"/>
              <w:bottom w:val="single" w:sz="4" w:space="0" w:color="000000"/>
            </w:tcBorders>
            <w:vAlign w:val="center"/>
          </w:tcPr>
          <w:p w:rsidR="00A50BA4" w:rsidRPr="00423ACC" w:rsidRDefault="00423ACC" w:rsidP="00CF1CBC">
            <w:pPr>
              <w:jc w:val="center"/>
              <w:rPr>
                <w:sz w:val="24"/>
                <w:szCs w:val="24"/>
              </w:rPr>
            </w:pPr>
            <w:r>
              <w:rPr>
                <w:sz w:val="24"/>
                <w:szCs w:val="24"/>
              </w:rPr>
              <w:t>33,3</w:t>
            </w:r>
          </w:p>
        </w:tc>
        <w:tc>
          <w:tcPr>
            <w:tcW w:w="1276" w:type="dxa"/>
            <w:tcBorders>
              <w:top w:val="single" w:sz="4" w:space="0" w:color="000000"/>
              <w:left w:val="single" w:sz="4" w:space="0" w:color="000000"/>
              <w:bottom w:val="single" w:sz="4" w:space="0" w:color="000000"/>
            </w:tcBorders>
            <w:vAlign w:val="center"/>
          </w:tcPr>
          <w:p w:rsidR="00A50BA4" w:rsidRPr="00423ACC" w:rsidRDefault="00423ACC" w:rsidP="00CF1CBC">
            <w:pPr>
              <w:jc w:val="center"/>
              <w:rPr>
                <w:sz w:val="24"/>
                <w:szCs w:val="24"/>
              </w:rPr>
            </w:pPr>
            <w:r>
              <w:rPr>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423ACC" w:rsidRDefault="00A50BA4" w:rsidP="00423ACC">
            <w:pPr>
              <w:jc w:val="center"/>
              <w:rPr>
                <w:sz w:val="24"/>
                <w:szCs w:val="24"/>
              </w:rPr>
            </w:pPr>
            <w:r w:rsidRPr="00423ACC">
              <w:rPr>
                <w:sz w:val="24"/>
                <w:szCs w:val="24"/>
              </w:rPr>
              <w:t>33,</w:t>
            </w:r>
            <w:r w:rsidR="00423ACC">
              <w:rPr>
                <w:sz w:val="24"/>
                <w:szCs w:val="24"/>
              </w:rPr>
              <w:t>7</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Прибыль до налогообложения прибыльных организаций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млрд. руб.</w:t>
            </w:r>
          </w:p>
        </w:tc>
        <w:tc>
          <w:tcPr>
            <w:tcW w:w="1134" w:type="dxa"/>
            <w:tcBorders>
              <w:top w:val="single" w:sz="4" w:space="0" w:color="000000"/>
              <w:left w:val="single" w:sz="4" w:space="0" w:color="000000"/>
              <w:bottom w:val="single" w:sz="4" w:space="0" w:color="000000"/>
            </w:tcBorders>
            <w:vAlign w:val="center"/>
          </w:tcPr>
          <w:p w:rsidR="00A50BA4" w:rsidRPr="00FD78C5" w:rsidRDefault="00FD78C5" w:rsidP="00CF1CBC">
            <w:pPr>
              <w:jc w:val="center"/>
              <w:rPr>
                <w:sz w:val="24"/>
                <w:szCs w:val="24"/>
              </w:rPr>
            </w:pPr>
            <w:r w:rsidRPr="00FD78C5">
              <w:rPr>
                <w:sz w:val="24"/>
                <w:szCs w:val="24"/>
              </w:rPr>
              <w:t>13,0</w:t>
            </w:r>
          </w:p>
        </w:tc>
        <w:tc>
          <w:tcPr>
            <w:tcW w:w="1134" w:type="dxa"/>
            <w:tcBorders>
              <w:top w:val="single" w:sz="4" w:space="0" w:color="000000"/>
              <w:left w:val="single" w:sz="4" w:space="0" w:color="000000"/>
              <w:bottom w:val="single" w:sz="4" w:space="0" w:color="000000"/>
            </w:tcBorders>
            <w:vAlign w:val="center"/>
          </w:tcPr>
          <w:p w:rsidR="00A50BA4" w:rsidRPr="00FD78C5" w:rsidRDefault="00FD78C5" w:rsidP="00CF1CBC">
            <w:pPr>
              <w:jc w:val="center"/>
              <w:rPr>
                <w:sz w:val="24"/>
                <w:szCs w:val="24"/>
              </w:rPr>
            </w:pPr>
            <w:r w:rsidRPr="00FD78C5">
              <w:rPr>
                <w:sz w:val="24"/>
                <w:szCs w:val="24"/>
              </w:rPr>
              <w:t>18,4</w:t>
            </w:r>
          </w:p>
        </w:tc>
        <w:tc>
          <w:tcPr>
            <w:tcW w:w="1276" w:type="dxa"/>
            <w:tcBorders>
              <w:top w:val="single" w:sz="4" w:space="0" w:color="000000"/>
              <w:left w:val="single" w:sz="4" w:space="0" w:color="000000"/>
              <w:bottom w:val="single" w:sz="4" w:space="0" w:color="000000"/>
            </w:tcBorders>
            <w:vAlign w:val="center"/>
          </w:tcPr>
          <w:p w:rsidR="00A50BA4" w:rsidRPr="00FD78C5" w:rsidRDefault="00FD78C5" w:rsidP="00CF1CBC">
            <w:pPr>
              <w:jc w:val="center"/>
              <w:rPr>
                <w:sz w:val="24"/>
                <w:szCs w:val="24"/>
              </w:rPr>
            </w:pPr>
            <w:r w:rsidRPr="00FD78C5">
              <w:rPr>
                <w:sz w:val="24"/>
                <w:szCs w:val="24"/>
              </w:rPr>
              <w:t>14,8</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FD78C5" w:rsidRDefault="00FD78C5" w:rsidP="00CF1CBC">
            <w:pPr>
              <w:jc w:val="center"/>
              <w:rPr>
                <w:sz w:val="24"/>
                <w:szCs w:val="24"/>
              </w:rPr>
            </w:pPr>
            <w:r w:rsidRPr="00FD78C5">
              <w:rPr>
                <w:sz w:val="24"/>
                <w:szCs w:val="24"/>
              </w:rPr>
              <w:t>19,5</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Ввод в действие жилых домов (квартир)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тыс.</w:t>
            </w:r>
            <w:r>
              <w:rPr>
                <w:sz w:val="24"/>
                <w:szCs w:val="24"/>
              </w:rPr>
              <w:t xml:space="preserve"> </w:t>
            </w:r>
            <w:r w:rsidRPr="00943D49">
              <w:rPr>
                <w:sz w:val="24"/>
                <w:szCs w:val="24"/>
              </w:rPr>
              <w:t>кв.</w:t>
            </w:r>
            <w:r>
              <w:rPr>
                <w:sz w:val="24"/>
                <w:szCs w:val="24"/>
              </w:rPr>
              <w:t xml:space="preserve"> </w:t>
            </w:r>
            <w:r w:rsidRPr="00943D49">
              <w:rPr>
                <w:sz w:val="24"/>
                <w:szCs w:val="24"/>
              </w:rPr>
              <w:t>м</w:t>
            </w:r>
          </w:p>
        </w:tc>
        <w:tc>
          <w:tcPr>
            <w:tcW w:w="1134" w:type="dxa"/>
            <w:tcBorders>
              <w:top w:val="single" w:sz="4" w:space="0" w:color="000000"/>
              <w:left w:val="single" w:sz="4" w:space="0" w:color="000000"/>
              <w:bottom w:val="single" w:sz="4" w:space="0" w:color="000000"/>
            </w:tcBorders>
            <w:vAlign w:val="center"/>
          </w:tcPr>
          <w:p w:rsidR="00A50BA4" w:rsidRPr="005A34F1" w:rsidRDefault="002951FD" w:rsidP="00CF1CBC">
            <w:pPr>
              <w:jc w:val="center"/>
              <w:rPr>
                <w:sz w:val="24"/>
                <w:szCs w:val="24"/>
                <w:highlight w:val="yellow"/>
              </w:rPr>
            </w:pPr>
            <w:r w:rsidRPr="002951FD">
              <w:rPr>
                <w:sz w:val="24"/>
                <w:szCs w:val="24"/>
              </w:rPr>
              <w:t>88,6</w:t>
            </w:r>
          </w:p>
        </w:tc>
        <w:tc>
          <w:tcPr>
            <w:tcW w:w="1134" w:type="dxa"/>
            <w:tcBorders>
              <w:top w:val="single" w:sz="4" w:space="0" w:color="000000"/>
              <w:left w:val="single" w:sz="4" w:space="0" w:color="000000"/>
              <w:bottom w:val="single" w:sz="4" w:space="0" w:color="000000"/>
            </w:tcBorders>
            <w:vAlign w:val="center"/>
          </w:tcPr>
          <w:p w:rsidR="00A50BA4" w:rsidRPr="005A34F1" w:rsidRDefault="002951FD" w:rsidP="00CF1CBC">
            <w:pPr>
              <w:jc w:val="center"/>
              <w:rPr>
                <w:sz w:val="24"/>
                <w:szCs w:val="24"/>
                <w:highlight w:val="yellow"/>
              </w:rPr>
            </w:pPr>
            <w:r w:rsidRPr="002951FD">
              <w:rPr>
                <w:sz w:val="24"/>
                <w:szCs w:val="24"/>
              </w:rPr>
              <w:t>234,6</w:t>
            </w:r>
          </w:p>
        </w:tc>
        <w:tc>
          <w:tcPr>
            <w:tcW w:w="1276" w:type="dxa"/>
            <w:tcBorders>
              <w:top w:val="single" w:sz="4" w:space="0" w:color="000000"/>
              <w:left w:val="single" w:sz="4" w:space="0" w:color="000000"/>
              <w:bottom w:val="single" w:sz="4" w:space="0" w:color="000000"/>
            </w:tcBorders>
            <w:vAlign w:val="center"/>
          </w:tcPr>
          <w:p w:rsidR="00A50BA4" w:rsidRPr="005A34F1" w:rsidRDefault="002951FD" w:rsidP="00CF1CBC">
            <w:pPr>
              <w:jc w:val="center"/>
              <w:rPr>
                <w:sz w:val="24"/>
                <w:szCs w:val="24"/>
                <w:highlight w:val="yellow"/>
              </w:rPr>
            </w:pPr>
            <w:r w:rsidRPr="002951FD">
              <w:rPr>
                <w:sz w:val="24"/>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5A34F1" w:rsidRDefault="002951FD" w:rsidP="00CF1CBC">
            <w:pPr>
              <w:jc w:val="center"/>
              <w:rPr>
                <w:sz w:val="24"/>
                <w:szCs w:val="24"/>
                <w:highlight w:val="yellow"/>
              </w:rPr>
            </w:pPr>
            <w:r w:rsidRPr="002951FD">
              <w:rPr>
                <w:sz w:val="24"/>
                <w:szCs w:val="24"/>
              </w:rPr>
              <w:t>135,0</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 xml:space="preserve">Уровень </w:t>
            </w:r>
            <w:r>
              <w:rPr>
                <w:sz w:val="24"/>
                <w:szCs w:val="24"/>
              </w:rPr>
              <w:t>официальной</w:t>
            </w:r>
            <w:r w:rsidRPr="00943D49">
              <w:rPr>
                <w:sz w:val="24"/>
                <w:szCs w:val="24"/>
              </w:rPr>
              <w:t xml:space="preserve"> безработицы относительно населения в трудоспособном возрасте (среднегодовой)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5A34F1" w:rsidRDefault="00AE1934" w:rsidP="00CF1CBC">
            <w:pPr>
              <w:jc w:val="center"/>
              <w:rPr>
                <w:sz w:val="24"/>
                <w:szCs w:val="24"/>
                <w:highlight w:val="yellow"/>
              </w:rPr>
            </w:pPr>
            <w:r w:rsidRPr="00AE1934">
              <w:rPr>
                <w:sz w:val="24"/>
                <w:szCs w:val="24"/>
              </w:rPr>
              <w:t>2,3</w:t>
            </w:r>
          </w:p>
        </w:tc>
        <w:tc>
          <w:tcPr>
            <w:tcW w:w="1134" w:type="dxa"/>
            <w:tcBorders>
              <w:top w:val="single" w:sz="4" w:space="0" w:color="000000"/>
              <w:left w:val="single" w:sz="4" w:space="0" w:color="000000"/>
              <w:bottom w:val="single" w:sz="4" w:space="0" w:color="000000"/>
            </w:tcBorders>
            <w:vAlign w:val="center"/>
          </w:tcPr>
          <w:p w:rsidR="00A50BA4" w:rsidRPr="005A34F1" w:rsidRDefault="00A31DC0" w:rsidP="00CF1CBC">
            <w:pPr>
              <w:jc w:val="center"/>
              <w:rPr>
                <w:sz w:val="24"/>
                <w:szCs w:val="24"/>
                <w:highlight w:val="yellow"/>
              </w:rPr>
            </w:pPr>
            <w:r w:rsidRPr="00664D00">
              <w:rPr>
                <w:sz w:val="24"/>
                <w:szCs w:val="24"/>
              </w:rPr>
              <w:t>2,2</w:t>
            </w:r>
          </w:p>
        </w:tc>
        <w:tc>
          <w:tcPr>
            <w:tcW w:w="1276" w:type="dxa"/>
            <w:tcBorders>
              <w:top w:val="single" w:sz="4" w:space="0" w:color="000000"/>
              <w:left w:val="single" w:sz="4" w:space="0" w:color="000000"/>
              <w:bottom w:val="single" w:sz="4" w:space="0" w:color="000000"/>
            </w:tcBorders>
            <w:vAlign w:val="center"/>
          </w:tcPr>
          <w:p w:rsidR="00A50BA4" w:rsidRPr="005A34F1" w:rsidRDefault="00AE1934" w:rsidP="00CF1CBC">
            <w:pPr>
              <w:jc w:val="center"/>
              <w:rPr>
                <w:sz w:val="24"/>
                <w:szCs w:val="24"/>
                <w:highlight w:val="yellow"/>
              </w:rPr>
            </w:pPr>
            <w:r w:rsidRPr="00AE1934">
              <w:rPr>
                <w:sz w:val="24"/>
                <w:szCs w:val="24"/>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5A34F1" w:rsidRDefault="00664D00" w:rsidP="00F66E1C">
            <w:pPr>
              <w:jc w:val="center"/>
              <w:rPr>
                <w:sz w:val="24"/>
                <w:szCs w:val="24"/>
                <w:highlight w:val="yellow"/>
              </w:rPr>
            </w:pPr>
            <w:r w:rsidRPr="00664D00">
              <w:rPr>
                <w:sz w:val="24"/>
                <w:szCs w:val="24"/>
              </w:rPr>
              <w:t>1,7</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Pr>
                <w:sz w:val="24"/>
                <w:szCs w:val="24"/>
              </w:rPr>
              <w:t>Среднемесячная начисленная заработная плата работников организаций, не относящихся к субъектам малого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Pr>
                <w:sz w:val="24"/>
                <w:szCs w:val="24"/>
              </w:rPr>
              <w:t>руб.</w:t>
            </w:r>
          </w:p>
        </w:tc>
        <w:tc>
          <w:tcPr>
            <w:tcW w:w="1134" w:type="dxa"/>
            <w:tcBorders>
              <w:top w:val="single" w:sz="4" w:space="0" w:color="000000"/>
              <w:left w:val="single" w:sz="4" w:space="0" w:color="000000"/>
              <w:bottom w:val="single" w:sz="4" w:space="0" w:color="000000"/>
            </w:tcBorders>
            <w:vAlign w:val="center"/>
          </w:tcPr>
          <w:p w:rsidR="00A50BA4" w:rsidRPr="00664D00" w:rsidRDefault="00664D00" w:rsidP="00664D00">
            <w:pPr>
              <w:jc w:val="center"/>
              <w:rPr>
                <w:sz w:val="24"/>
                <w:szCs w:val="24"/>
              </w:rPr>
            </w:pPr>
            <w:r w:rsidRPr="00664D00">
              <w:rPr>
                <w:sz w:val="24"/>
                <w:szCs w:val="24"/>
              </w:rPr>
              <w:t>28</w:t>
            </w:r>
            <w:r>
              <w:rPr>
                <w:sz w:val="24"/>
                <w:szCs w:val="24"/>
              </w:rPr>
              <w:t xml:space="preserve"> </w:t>
            </w:r>
            <w:r w:rsidRPr="00664D00">
              <w:rPr>
                <w:sz w:val="24"/>
                <w:szCs w:val="24"/>
              </w:rPr>
              <w:t>79</w:t>
            </w:r>
            <w:r>
              <w:rPr>
                <w:sz w:val="24"/>
                <w:szCs w:val="24"/>
              </w:rPr>
              <w:t>1</w:t>
            </w:r>
          </w:p>
        </w:tc>
        <w:tc>
          <w:tcPr>
            <w:tcW w:w="1134" w:type="dxa"/>
            <w:tcBorders>
              <w:top w:val="single" w:sz="4" w:space="0" w:color="000000"/>
              <w:left w:val="single" w:sz="4" w:space="0" w:color="000000"/>
              <w:bottom w:val="single" w:sz="4" w:space="0" w:color="000000"/>
            </w:tcBorders>
            <w:vAlign w:val="center"/>
          </w:tcPr>
          <w:p w:rsidR="00A50BA4" w:rsidRPr="005A34F1" w:rsidRDefault="00664D00" w:rsidP="00CF1CBC">
            <w:pPr>
              <w:jc w:val="center"/>
              <w:rPr>
                <w:sz w:val="24"/>
                <w:szCs w:val="24"/>
                <w:highlight w:val="yellow"/>
              </w:rPr>
            </w:pPr>
            <w:r w:rsidRPr="00664D00">
              <w:rPr>
                <w:sz w:val="24"/>
                <w:szCs w:val="24"/>
              </w:rPr>
              <w:t>30 080</w:t>
            </w:r>
          </w:p>
        </w:tc>
        <w:tc>
          <w:tcPr>
            <w:tcW w:w="1276" w:type="dxa"/>
            <w:tcBorders>
              <w:top w:val="single" w:sz="4" w:space="0" w:color="000000"/>
              <w:left w:val="single" w:sz="4" w:space="0" w:color="000000"/>
              <w:bottom w:val="single" w:sz="4" w:space="0" w:color="000000"/>
            </w:tcBorders>
            <w:vAlign w:val="center"/>
          </w:tcPr>
          <w:p w:rsidR="00A50BA4" w:rsidRPr="00664D00" w:rsidRDefault="00664D00" w:rsidP="00CF1CBC">
            <w:pPr>
              <w:jc w:val="center"/>
              <w:rPr>
                <w:sz w:val="24"/>
                <w:szCs w:val="24"/>
              </w:rPr>
            </w:pPr>
            <w:r w:rsidRPr="00664D00">
              <w:rPr>
                <w:sz w:val="24"/>
                <w:szCs w:val="24"/>
              </w:rPr>
              <w:t>31 803</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5A34F1" w:rsidRDefault="00664D00" w:rsidP="00CF1CBC">
            <w:pPr>
              <w:jc w:val="center"/>
              <w:rPr>
                <w:sz w:val="24"/>
                <w:szCs w:val="24"/>
                <w:highlight w:val="yellow"/>
              </w:rPr>
            </w:pPr>
            <w:r w:rsidRPr="00664D00">
              <w:rPr>
                <w:sz w:val="24"/>
                <w:szCs w:val="24"/>
              </w:rPr>
              <w:t>32 600</w:t>
            </w:r>
          </w:p>
        </w:tc>
      </w:tr>
      <w:tr w:rsidR="00A50BA4" w:rsidRPr="00943D49"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t>Реальная начисленная заработная плата одного работника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w:t>
            </w:r>
          </w:p>
        </w:tc>
        <w:tc>
          <w:tcPr>
            <w:tcW w:w="1134" w:type="dxa"/>
            <w:tcBorders>
              <w:top w:val="single" w:sz="4" w:space="0" w:color="000000"/>
              <w:left w:val="single" w:sz="4" w:space="0" w:color="000000"/>
              <w:bottom w:val="single" w:sz="4" w:space="0" w:color="000000"/>
            </w:tcBorders>
            <w:vAlign w:val="center"/>
          </w:tcPr>
          <w:p w:rsidR="00A50BA4" w:rsidRPr="00664D00" w:rsidRDefault="00664D00" w:rsidP="00CF1CBC">
            <w:pPr>
              <w:jc w:val="center"/>
              <w:rPr>
                <w:sz w:val="24"/>
                <w:szCs w:val="24"/>
              </w:rPr>
            </w:pPr>
            <w:r w:rsidRPr="00664D00">
              <w:rPr>
                <w:sz w:val="24"/>
                <w:szCs w:val="24"/>
              </w:rPr>
              <w:t>95,9</w:t>
            </w:r>
          </w:p>
        </w:tc>
        <w:tc>
          <w:tcPr>
            <w:tcW w:w="1134" w:type="dxa"/>
            <w:tcBorders>
              <w:top w:val="single" w:sz="4" w:space="0" w:color="000000"/>
              <w:left w:val="single" w:sz="4" w:space="0" w:color="000000"/>
              <w:bottom w:val="single" w:sz="4" w:space="0" w:color="000000"/>
            </w:tcBorders>
            <w:vAlign w:val="center"/>
          </w:tcPr>
          <w:p w:rsidR="00A50BA4" w:rsidRPr="005A34F1" w:rsidRDefault="00664D00" w:rsidP="00CF1CBC">
            <w:pPr>
              <w:jc w:val="center"/>
              <w:rPr>
                <w:sz w:val="24"/>
                <w:szCs w:val="24"/>
                <w:highlight w:val="yellow"/>
              </w:rPr>
            </w:pPr>
            <w:r w:rsidRPr="00664D00">
              <w:rPr>
                <w:sz w:val="24"/>
                <w:szCs w:val="24"/>
              </w:rPr>
              <w:t>95,3</w:t>
            </w:r>
          </w:p>
        </w:tc>
        <w:tc>
          <w:tcPr>
            <w:tcW w:w="1276" w:type="dxa"/>
            <w:tcBorders>
              <w:top w:val="single" w:sz="4" w:space="0" w:color="000000"/>
              <w:left w:val="single" w:sz="4" w:space="0" w:color="000000"/>
              <w:bottom w:val="single" w:sz="4" w:space="0" w:color="000000"/>
            </w:tcBorders>
            <w:vAlign w:val="center"/>
          </w:tcPr>
          <w:p w:rsidR="00A50BA4" w:rsidRPr="00664D00" w:rsidRDefault="00664D00" w:rsidP="00CF1CBC">
            <w:pPr>
              <w:jc w:val="center"/>
              <w:rPr>
                <w:sz w:val="24"/>
                <w:szCs w:val="24"/>
              </w:rPr>
            </w:pPr>
            <w:r w:rsidRPr="00664D00">
              <w:rPr>
                <w:sz w:val="24"/>
                <w:szCs w:val="24"/>
              </w:rPr>
              <w:t>105,8</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5A34F1" w:rsidRDefault="00664D00" w:rsidP="00CF1CBC">
            <w:pPr>
              <w:jc w:val="center"/>
              <w:rPr>
                <w:sz w:val="24"/>
                <w:szCs w:val="24"/>
                <w:highlight w:val="yellow"/>
              </w:rPr>
            </w:pPr>
            <w:r w:rsidRPr="00664D00">
              <w:rPr>
                <w:sz w:val="24"/>
                <w:szCs w:val="24"/>
              </w:rPr>
              <w:t>104,1</w:t>
            </w:r>
          </w:p>
        </w:tc>
      </w:tr>
      <w:tr w:rsidR="00A50BA4" w:rsidRPr="00A44276" w:rsidTr="00B9460E">
        <w:tc>
          <w:tcPr>
            <w:tcW w:w="3402" w:type="dxa"/>
            <w:tcBorders>
              <w:top w:val="single" w:sz="4" w:space="0" w:color="000000"/>
              <w:left w:val="single" w:sz="4" w:space="0" w:color="000000"/>
              <w:bottom w:val="single" w:sz="4" w:space="0" w:color="000000"/>
            </w:tcBorders>
          </w:tcPr>
          <w:p w:rsidR="00A50BA4" w:rsidRPr="00943D49" w:rsidRDefault="00A50BA4" w:rsidP="00CF1CBC">
            <w:pPr>
              <w:rPr>
                <w:sz w:val="24"/>
                <w:szCs w:val="24"/>
              </w:rPr>
            </w:pPr>
            <w:r w:rsidRPr="00943D49">
              <w:rPr>
                <w:sz w:val="24"/>
                <w:szCs w:val="24"/>
              </w:rPr>
              <w:lastRenderedPageBreak/>
              <w:t>Оборот розничной торговли по полному кругу предприятий и организаций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A50BA4" w:rsidRPr="00943D49" w:rsidRDefault="00A50BA4" w:rsidP="00CF1CBC">
            <w:pPr>
              <w:jc w:val="center"/>
              <w:rPr>
                <w:sz w:val="24"/>
                <w:szCs w:val="24"/>
              </w:rPr>
            </w:pPr>
            <w:r w:rsidRPr="00943D49">
              <w:rPr>
                <w:sz w:val="24"/>
                <w:szCs w:val="24"/>
              </w:rPr>
              <w:t>млрд.</w:t>
            </w:r>
            <w:r>
              <w:rPr>
                <w:sz w:val="24"/>
                <w:szCs w:val="24"/>
              </w:rPr>
              <w:t xml:space="preserve"> </w:t>
            </w:r>
            <w:r w:rsidRPr="00943D49">
              <w:rPr>
                <w:sz w:val="24"/>
                <w:szCs w:val="24"/>
              </w:rPr>
              <w:t>руб.</w:t>
            </w:r>
          </w:p>
        </w:tc>
        <w:tc>
          <w:tcPr>
            <w:tcW w:w="1134" w:type="dxa"/>
            <w:tcBorders>
              <w:top w:val="single" w:sz="4" w:space="0" w:color="000000"/>
              <w:left w:val="single" w:sz="4" w:space="0" w:color="000000"/>
              <w:bottom w:val="single" w:sz="4" w:space="0" w:color="000000"/>
            </w:tcBorders>
            <w:vAlign w:val="center"/>
          </w:tcPr>
          <w:p w:rsidR="00A50BA4" w:rsidRPr="0099419D" w:rsidRDefault="0099419D" w:rsidP="00CF1CBC">
            <w:pPr>
              <w:jc w:val="center"/>
              <w:rPr>
                <w:sz w:val="24"/>
                <w:szCs w:val="24"/>
              </w:rPr>
            </w:pPr>
            <w:r w:rsidRPr="0099419D">
              <w:rPr>
                <w:sz w:val="24"/>
                <w:szCs w:val="24"/>
              </w:rPr>
              <w:t>80,9</w:t>
            </w:r>
          </w:p>
        </w:tc>
        <w:tc>
          <w:tcPr>
            <w:tcW w:w="1134" w:type="dxa"/>
            <w:tcBorders>
              <w:top w:val="single" w:sz="4" w:space="0" w:color="000000"/>
              <w:left w:val="single" w:sz="4" w:space="0" w:color="000000"/>
              <w:bottom w:val="single" w:sz="4" w:space="0" w:color="000000"/>
            </w:tcBorders>
            <w:vAlign w:val="center"/>
          </w:tcPr>
          <w:p w:rsidR="00A50BA4" w:rsidRPr="0099419D" w:rsidRDefault="0099419D" w:rsidP="00CF1CBC">
            <w:pPr>
              <w:jc w:val="center"/>
              <w:rPr>
                <w:sz w:val="24"/>
                <w:szCs w:val="24"/>
              </w:rPr>
            </w:pPr>
            <w:r w:rsidRPr="0099419D">
              <w:rPr>
                <w:sz w:val="24"/>
                <w:szCs w:val="24"/>
              </w:rPr>
              <w:t>170,2</w:t>
            </w:r>
          </w:p>
        </w:tc>
        <w:tc>
          <w:tcPr>
            <w:tcW w:w="1276" w:type="dxa"/>
            <w:tcBorders>
              <w:top w:val="single" w:sz="4" w:space="0" w:color="000000"/>
              <w:left w:val="single" w:sz="4" w:space="0" w:color="000000"/>
              <w:bottom w:val="single" w:sz="4" w:space="0" w:color="000000"/>
            </w:tcBorders>
            <w:vAlign w:val="center"/>
          </w:tcPr>
          <w:p w:rsidR="00A50BA4" w:rsidRPr="0099419D" w:rsidRDefault="0099419D" w:rsidP="00CF1CBC">
            <w:pPr>
              <w:jc w:val="center"/>
              <w:rPr>
                <w:sz w:val="24"/>
                <w:szCs w:val="24"/>
              </w:rPr>
            </w:pPr>
            <w:r w:rsidRPr="0099419D">
              <w:rPr>
                <w:sz w:val="24"/>
                <w:szCs w:val="24"/>
              </w:rPr>
              <w:t>83,2</w:t>
            </w:r>
          </w:p>
        </w:tc>
        <w:tc>
          <w:tcPr>
            <w:tcW w:w="1276" w:type="dxa"/>
            <w:tcBorders>
              <w:top w:val="single" w:sz="4" w:space="0" w:color="000000"/>
              <w:left w:val="single" w:sz="4" w:space="0" w:color="000000"/>
              <w:bottom w:val="single" w:sz="4" w:space="0" w:color="000000"/>
              <w:right w:val="single" w:sz="4" w:space="0" w:color="000000"/>
            </w:tcBorders>
            <w:vAlign w:val="center"/>
          </w:tcPr>
          <w:p w:rsidR="00A50BA4" w:rsidRPr="0099419D" w:rsidRDefault="0099419D" w:rsidP="00CF1CBC">
            <w:pPr>
              <w:jc w:val="center"/>
              <w:rPr>
                <w:sz w:val="24"/>
                <w:szCs w:val="24"/>
              </w:rPr>
            </w:pPr>
            <w:r w:rsidRPr="0099419D">
              <w:rPr>
                <w:sz w:val="24"/>
                <w:szCs w:val="24"/>
              </w:rPr>
              <w:t>175,0</w:t>
            </w:r>
          </w:p>
        </w:tc>
      </w:tr>
    </w:tbl>
    <w:p w:rsidR="003E43EA" w:rsidRPr="003E43EA" w:rsidRDefault="003E43EA" w:rsidP="005B2A1C">
      <w:pPr>
        <w:pStyle w:val="afc"/>
        <w:widowControl w:val="0"/>
        <w:numPr>
          <w:ilvl w:val="0"/>
          <w:numId w:val="3"/>
        </w:numPr>
        <w:suppressAutoHyphens w:val="0"/>
        <w:spacing w:line="276" w:lineRule="auto"/>
        <w:ind w:left="0" w:firstLine="709"/>
        <w:jc w:val="both"/>
        <w:rPr>
          <w:szCs w:val="24"/>
        </w:rPr>
      </w:pPr>
    </w:p>
    <w:p w:rsidR="00A50BA4" w:rsidRPr="001F76D7" w:rsidRDefault="001F76D7" w:rsidP="005B2A1C">
      <w:pPr>
        <w:pStyle w:val="afc"/>
        <w:widowControl w:val="0"/>
        <w:numPr>
          <w:ilvl w:val="0"/>
          <w:numId w:val="3"/>
        </w:numPr>
        <w:suppressAutoHyphens w:val="0"/>
        <w:spacing w:line="276" w:lineRule="auto"/>
        <w:ind w:left="0" w:firstLine="709"/>
        <w:jc w:val="both"/>
        <w:rPr>
          <w:szCs w:val="24"/>
        </w:rPr>
      </w:pPr>
      <w:r>
        <w:rPr>
          <w:szCs w:val="24"/>
          <w:shd w:val="clear" w:color="auto" w:fill="FFFFFF"/>
        </w:rPr>
        <w:t xml:space="preserve">В 2017 году </w:t>
      </w:r>
      <w:r w:rsidRPr="001F76D7">
        <w:rPr>
          <w:szCs w:val="24"/>
          <w:shd w:val="clear" w:color="auto" w:fill="FFFFFF"/>
        </w:rPr>
        <w:t>рост инфляции</w:t>
      </w:r>
      <w:r>
        <w:rPr>
          <w:szCs w:val="24"/>
          <w:shd w:val="clear" w:color="auto" w:fill="FFFFFF"/>
        </w:rPr>
        <w:t xml:space="preserve"> замедлился</w:t>
      </w:r>
      <w:r w:rsidRPr="001F76D7">
        <w:rPr>
          <w:szCs w:val="24"/>
          <w:shd w:val="clear" w:color="auto" w:fill="FFFFFF"/>
        </w:rPr>
        <w:t xml:space="preserve">: </w:t>
      </w:r>
      <w:r w:rsidRPr="001F76D7">
        <w:rPr>
          <w:b/>
          <w:szCs w:val="24"/>
          <w:shd w:val="clear" w:color="auto" w:fill="FFFFFF"/>
        </w:rPr>
        <w:t xml:space="preserve">индекс </w:t>
      </w:r>
      <w:r>
        <w:rPr>
          <w:b/>
          <w:szCs w:val="24"/>
          <w:shd w:val="clear" w:color="auto" w:fill="FFFFFF"/>
        </w:rPr>
        <w:t>потребительских цен</w:t>
      </w:r>
      <w:r w:rsidRPr="001F76D7">
        <w:rPr>
          <w:szCs w:val="24"/>
          <w:shd w:val="clear" w:color="auto" w:fill="FFFFFF"/>
        </w:rPr>
        <w:t xml:space="preserve"> за январь-июнь 2017 года составил 101,5 %, тогда как в январе-июне</w:t>
      </w:r>
      <w:r w:rsidR="00DA1C7A">
        <w:rPr>
          <w:szCs w:val="24"/>
          <w:shd w:val="clear" w:color="auto" w:fill="FFFFFF"/>
        </w:rPr>
        <w:t xml:space="preserve"> 2016 года он составлял 103,0 %</w:t>
      </w:r>
      <w:r w:rsidRPr="001F76D7">
        <w:rPr>
          <w:szCs w:val="24"/>
          <w:shd w:val="clear" w:color="auto" w:fill="FFFFFF"/>
        </w:rPr>
        <w:t xml:space="preserve"> </w:t>
      </w:r>
      <w:r>
        <w:rPr>
          <w:szCs w:val="24"/>
          <w:shd w:val="clear" w:color="auto" w:fill="FFFFFF"/>
        </w:rPr>
        <w:t>(</w:t>
      </w:r>
      <w:r w:rsidR="00DA1C7A">
        <w:rPr>
          <w:szCs w:val="24"/>
        </w:rPr>
        <w:t>по</w:t>
      </w:r>
      <w:r w:rsidR="00A50BA4" w:rsidRPr="001F76D7">
        <w:rPr>
          <w:szCs w:val="24"/>
        </w:rPr>
        <w:t xml:space="preserve"> Российской Федерации </w:t>
      </w:r>
      <w:r>
        <w:rPr>
          <w:szCs w:val="24"/>
        </w:rPr>
        <w:t xml:space="preserve">индекс потребительских цен </w:t>
      </w:r>
      <w:r w:rsidR="00DA1C7A">
        <w:rPr>
          <w:szCs w:val="24"/>
        </w:rPr>
        <w:t xml:space="preserve">в 1 полугодии </w:t>
      </w:r>
      <w:r w:rsidRPr="00FA78F0">
        <w:rPr>
          <w:szCs w:val="24"/>
        </w:rPr>
        <w:t>составил</w:t>
      </w:r>
      <w:r w:rsidR="00FA78F0">
        <w:rPr>
          <w:szCs w:val="24"/>
        </w:rPr>
        <w:t xml:space="preserve"> 102,3</w:t>
      </w:r>
      <w:r w:rsidR="00DA1C7A">
        <w:rPr>
          <w:szCs w:val="24"/>
        </w:rPr>
        <w:t xml:space="preserve"> %</w:t>
      </w:r>
      <w:r>
        <w:rPr>
          <w:szCs w:val="24"/>
        </w:rPr>
        <w:t>)</w:t>
      </w:r>
      <w:r w:rsidR="00A50BA4" w:rsidRPr="001F76D7">
        <w:rPr>
          <w:szCs w:val="24"/>
        </w:rPr>
        <w:t xml:space="preserve">. </w:t>
      </w:r>
    </w:p>
    <w:p w:rsidR="00A50BA4" w:rsidRPr="0078137D" w:rsidRDefault="004818DD" w:rsidP="005B2A1C">
      <w:pPr>
        <w:pStyle w:val="aff1"/>
        <w:numPr>
          <w:ilvl w:val="0"/>
          <w:numId w:val="3"/>
        </w:numPr>
        <w:spacing w:line="276" w:lineRule="auto"/>
        <w:ind w:left="0" w:firstLine="709"/>
        <w:rPr>
          <w:sz w:val="24"/>
          <w:szCs w:val="24"/>
        </w:rPr>
      </w:pPr>
      <w:r>
        <w:rPr>
          <w:sz w:val="24"/>
          <w:szCs w:val="24"/>
        </w:rPr>
        <w:t>Ц</w:t>
      </w:r>
      <w:r w:rsidR="00A50BA4" w:rsidRPr="0078137D">
        <w:rPr>
          <w:sz w:val="24"/>
          <w:szCs w:val="24"/>
        </w:rPr>
        <w:t>ен</w:t>
      </w:r>
      <w:r>
        <w:rPr>
          <w:sz w:val="24"/>
          <w:szCs w:val="24"/>
        </w:rPr>
        <w:t>ы</w:t>
      </w:r>
      <w:r w:rsidR="00A50BA4" w:rsidRPr="0078137D">
        <w:rPr>
          <w:sz w:val="24"/>
          <w:szCs w:val="24"/>
        </w:rPr>
        <w:t xml:space="preserve"> на продовольственные товары </w:t>
      </w:r>
      <w:r>
        <w:rPr>
          <w:sz w:val="24"/>
          <w:szCs w:val="24"/>
        </w:rPr>
        <w:t xml:space="preserve">выросли на </w:t>
      </w:r>
      <w:r w:rsidR="0078137D" w:rsidRPr="0078137D">
        <w:rPr>
          <w:sz w:val="24"/>
          <w:szCs w:val="24"/>
        </w:rPr>
        <w:t>2</w:t>
      </w:r>
      <w:r w:rsidR="00A50BA4" w:rsidRPr="0078137D">
        <w:rPr>
          <w:sz w:val="24"/>
          <w:szCs w:val="24"/>
        </w:rPr>
        <w:t>,</w:t>
      </w:r>
      <w:r w:rsidR="0078137D" w:rsidRPr="0078137D">
        <w:rPr>
          <w:sz w:val="24"/>
          <w:szCs w:val="24"/>
        </w:rPr>
        <w:t>8</w:t>
      </w:r>
      <w:r w:rsidR="00A50BA4" w:rsidRPr="0078137D">
        <w:rPr>
          <w:sz w:val="24"/>
          <w:szCs w:val="24"/>
        </w:rPr>
        <w:t xml:space="preserve"> %, на непродовольственные товары и платные услуги – </w:t>
      </w:r>
      <w:r>
        <w:rPr>
          <w:sz w:val="24"/>
          <w:szCs w:val="24"/>
        </w:rPr>
        <w:t xml:space="preserve">на </w:t>
      </w:r>
      <w:r w:rsidR="0078137D" w:rsidRPr="0078137D">
        <w:rPr>
          <w:sz w:val="24"/>
          <w:szCs w:val="24"/>
        </w:rPr>
        <w:t>0</w:t>
      </w:r>
      <w:r w:rsidR="00A50BA4" w:rsidRPr="0078137D">
        <w:rPr>
          <w:sz w:val="24"/>
          <w:szCs w:val="24"/>
        </w:rPr>
        <w:t>,</w:t>
      </w:r>
      <w:r w:rsidR="0078137D" w:rsidRPr="0078137D">
        <w:rPr>
          <w:sz w:val="24"/>
          <w:szCs w:val="24"/>
        </w:rPr>
        <w:t>4</w:t>
      </w:r>
      <w:r w:rsidR="00A50BA4" w:rsidRPr="0078137D">
        <w:rPr>
          <w:sz w:val="24"/>
          <w:szCs w:val="24"/>
        </w:rPr>
        <w:t xml:space="preserve"> % и </w:t>
      </w:r>
      <w:r w:rsidR="0078137D" w:rsidRPr="0078137D">
        <w:rPr>
          <w:sz w:val="24"/>
          <w:szCs w:val="24"/>
        </w:rPr>
        <w:t>0</w:t>
      </w:r>
      <w:r w:rsidR="00A50BA4" w:rsidRPr="0078137D">
        <w:rPr>
          <w:sz w:val="24"/>
          <w:szCs w:val="24"/>
        </w:rPr>
        <w:t>,</w:t>
      </w:r>
      <w:r w:rsidR="0078137D" w:rsidRPr="0078137D">
        <w:rPr>
          <w:sz w:val="24"/>
          <w:szCs w:val="24"/>
        </w:rPr>
        <w:t>1</w:t>
      </w:r>
      <w:r w:rsidR="00A50BA4" w:rsidRPr="0078137D">
        <w:rPr>
          <w:sz w:val="24"/>
          <w:szCs w:val="24"/>
        </w:rPr>
        <w:t xml:space="preserve"> % соответственно.</w:t>
      </w:r>
    </w:p>
    <w:p w:rsidR="0099419D" w:rsidRDefault="0099419D" w:rsidP="005B2A1C">
      <w:pPr>
        <w:pStyle w:val="aff1"/>
        <w:spacing w:line="276" w:lineRule="auto"/>
        <w:rPr>
          <w:sz w:val="24"/>
          <w:szCs w:val="24"/>
        </w:rPr>
      </w:pPr>
      <w:r w:rsidRPr="0099419D">
        <w:rPr>
          <w:sz w:val="24"/>
          <w:szCs w:val="24"/>
        </w:rPr>
        <w:t>Так, в среднем, сосиски, сардельки подорожали на 5,3 %, кисломолочная продукция - на 4,6 %, масло сливочное –</w:t>
      </w:r>
      <w:r w:rsidR="0036741E">
        <w:rPr>
          <w:sz w:val="24"/>
          <w:szCs w:val="24"/>
        </w:rPr>
        <w:t xml:space="preserve"> на 22,0 %, сметана – на 7,4 %</w:t>
      </w:r>
      <w:r w:rsidRPr="0099419D">
        <w:rPr>
          <w:sz w:val="24"/>
          <w:szCs w:val="24"/>
        </w:rPr>
        <w:t xml:space="preserve">. Снижение цен наблюдалось на мясо кур – на 8,7 %, пельмени – 3,4 %, яйца куриные – на 5,5 %, сахар подешевел на 21,7 %. Увеличились розничные цены на автомобильное топливо. </w:t>
      </w:r>
    </w:p>
    <w:p w:rsidR="001F6122" w:rsidRDefault="001F6122" w:rsidP="005B2A1C">
      <w:pPr>
        <w:pStyle w:val="aff1"/>
        <w:spacing w:line="276" w:lineRule="auto"/>
        <w:rPr>
          <w:sz w:val="24"/>
          <w:szCs w:val="24"/>
        </w:rPr>
      </w:pPr>
      <w:r>
        <w:rPr>
          <w:sz w:val="24"/>
          <w:szCs w:val="24"/>
        </w:rPr>
        <w:t>В январе–</w:t>
      </w:r>
      <w:r w:rsidR="00CD43C6">
        <w:rPr>
          <w:sz w:val="24"/>
          <w:szCs w:val="24"/>
        </w:rPr>
        <w:t>сентябре</w:t>
      </w:r>
      <w:r>
        <w:rPr>
          <w:sz w:val="24"/>
          <w:szCs w:val="24"/>
        </w:rPr>
        <w:t xml:space="preserve"> 2017 года индекс потребительских цен составил 100,4 %, что ниже января-</w:t>
      </w:r>
      <w:r w:rsidR="00CD43C6">
        <w:rPr>
          <w:sz w:val="24"/>
          <w:szCs w:val="24"/>
        </w:rPr>
        <w:t>сентября</w:t>
      </w:r>
      <w:r>
        <w:rPr>
          <w:sz w:val="24"/>
          <w:szCs w:val="24"/>
        </w:rPr>
        <w:t xml:space="preserve"> 2016 года на </w:t>
      </w:r>
      <w:r w:rsidR="00CD43C6">
        <w:rPr>
          <w:sz w:val="24"/>
          <w:szCs w:val="24"/>
        </w:rPr>
        <w:t>3</w:t>
      </w:r>
      <w:r>
        <w:rPr>
          <w:sz w:val="24"/>
          <w:szCs w:val="24"/>
        </w:rPr>
        <w:t>,</w:t>
      </w:r>
      <w:r w:rsidR="00CD43C6">
        <w:rPr>
          <w:sz w:val="24"/>
          <w:szCs w:val="24"/>
        </w:rPr>
        <w:t>3</w:t>
      </w:r>
      <w:r>
        <w:rPr>
          <w:sz w:val="24"/>
          <w:szCs w:val="24"/>
        </w:rPr>
        <w:t xml:space="preserve"> п.п. (</w:t>
      </w:r>
      <w:r w:rsidR="00DA1C7A">
        <w:rPr>
          <w:sz w:val="24"/>
          <w:szCs w:val="24"/>
        </w:rPr>
        <w:t>по</w:t>
      </w:r>
      <w:r>
        <w:rPr>
          <w:sz w:val="24"/>
          <w:szCs w:val="24"/>
        </w:rPr>
        <w:t xml:space="preserve"> Российской Федерации индекс составил 101,</w:t>
      </w:r>
      <w:r w:rsidR="00CD43C6">
        <w:rPr>
          <w:sz w:val="24"/>
          <w:szCs w:val="24"/>
        </w:rPr>
        <w:t>7</w:t>
      </w:r>
      <w:r>
        <w:rPr>
          <w:sz w:val="24"/>
          <w:szCs w:val="24"/>
        </w:rPr>
        <w:t xml:space="preserve"> %).</w:t>
      </w:r>
    </w:p>
    <w:p w:rsidR="00A50BA4" w:rsidRDefault="00A50BA4" w:rsidP="005B2A1C">
      <w:pPr>
        <w:pStyle w:val="aff1"/>
        <w:spacing w:line="276" w:lineRule="auto"/>
        <w:rPr>
          <w:sz w:val="24"/>
          <w:szCs w:val="24"/>
        </w:rPr>
      </w:pPr>
      <w:r w:rsidRPr="0099419D">
        <w:rPr>
          <w:sz w:val="24"/>
          <w:szCs w:val="24"/>
        </w:rPr>
        <w:t>В целом за 201</w:t>
      </w:r>
      <w:r w:rsidR="0099419D" w:rsidRPr="0099419D">
        <w:rPr>
          <w:sz w:val="24"/>
          <w:szCs w:val="24"/>
        </w:rPr>
        <w:t>7</w:t>
      </w:r>
      <w:r w:rsidRPr="0099419D">
        <w:rPr>
          <w:sz w:val="24"/>
          <w:szCs w:val="24"/>
        </w:rPr>
        <w:t xml:space="preserve"> год уровень инфляции (декабрь 201</w:t>
      </w:r>
      <w:r w:rsidR="0099419D" w:rsidRPr="0099419D">
        <w:rPr>
          <w:sz w:val="24"/>
          <w:szCs w:val="24"/>
        </w:rPr>
        <w:t>7</w:t>
      </w:r>
      <w:r w:rsidRPr="0099419D">
        <w:rPr>
          <w:sz w:val="24"/>
          <w:szCs w:val="24"/>
        </w:rPr>
        <w:t xml:space="preserve"> года к декабрю 201</w:t>
      </w:r>
      <w:r w:rsidR="0099419D" w:rsidRPr="0099419D">
        <w:rPr>
          <w:sz w:val="24"/>
          <w:szCs w:val="24"/>
        </w:rPr>
        <w:t>6</w:t>
      </w:r>
      <w:r w:rsidRPr="0099419D">
        <w:rPr>
          <w:sz w:val="24"/>
          <w:szCs w:val="24"/>
        </w:rPr>
        <w:t xml:space="preserve"> года) на потребительском рынке региона </w:t>
      </w:r>
      <w:r w:rsidR="0099419D" w:rsidRPr="0099419D">
        <w:rPr>
          <w:sz w:val="24"/>
          <w:szCs w:val="24"/>
        </w:rPr>
        <w:t>оценивается на уровне 10</w:t>
      </w:r>
      <w:r w:rsidRPr="0099419D">
        <w:rPr>
          <w:sz w:val="24"/>
          <w:szCs w:val="24"/>
        </w:rPr>
        <w:t>4 %</w:t>
      </w:r>
      <w:r w:rsidR="00DA1C7A">
        <w:rPr>
          <w:sz w:val="24"/>
          <w:szCs w:val="24"/>
        </w:rPr>
        <w:t xml:space="preserve"> (в разрезе муниципальных образований расчет не производится)</w:t>
      </w:r>
      <w:r w:rsidRPr="0099419D">
        <w:rPr>
          <w:sz w:val="24"/>
          <w:szCs w:val="24"/>
        </w:rPr>
        <w:t xml:space="preserve">.  </w:t>
      </w:r>
    </w:p>
    <w:p w:rsidR="00536336" w:rsidRDefault="00536336" w:rsidP="005B2A1C">
      <w:pPr>
        <w:pStyle w:val="aff1"/>
        <w:spacing w:line="276" w:lineRule="auto"/>
        <w:rPr>
          <w:sz w:val="24"/>
          <w:szCs w:val="24"/>
        </w:rPr>
      </w:pPr>
      <w:r>
        <w:rPr>
          <w:sz w:val="24"/>
          <w:szCs w:val="24"/>
        </w:rPr>
        <w:t>Индекс-дефлятор в промышленности, который находится расчетным путем, исходя из дефляторов по каждому виду промышленной деятельности, рекомендованных Министерством экономического развития РФ, за 2017 год по городскому округу Тольятти по оценке составит 102,6 %.</w:t>
      </w:r>
    </w:p>
    <w:p w:rsidR="00536336" w:rsidRPr="0099419D" w:rsidRDefault="00250556" w:rsidP="005B2A1C">
      <w:pPr>
        <w:pStyle w:val="aff1"/>
        <w:spacing w:line="276" w:lineRule="auto"/>
        <w:rPr>
          <w:sz w:val="24"/>
          <w:szCs w:val="24"/>
        </w:rPr>
      </w:pPr>
      <w:r>
        <w:rPr>
          <w:sz w:val="24"/>
          <w:szCs w:val="24"/>
        </w:rPr>
        <w:t>Индекс цен в</w:t>
      </w:r>
      <w:r w:rsidR="00536336">
        <w:rPr>
          <w:sz w:val="24"/>
          <w:szCs w:val="24"/>
        </w:rPr>
        <w:t xml:space="preserve"> инвестиционн</w:t>
      </w:r>
      <w:r>
        <w:rPr>
          <w:sz w:val="24"/>
          <w:szCs w:val="24"/>
        </w:rPr>
        <w:t>ой</w:t>
      </w:r>
      <w:r w:rsidR="00536336">
        <w:rPr>
          <w:sz w:val="24"/>
          <w:szCs w:val="24"/>
        </w:rPr>
        <w:t xml:space="preserve"> </w:t>
      </w:r>
      <w:r>
        <w:rPr>
          <w:sz w:val="24"/>
          <w:szCs w:val="24"/>
        </w:rPr>
        <w:t>сфере</w:t>
      </w:r>
      <w:r w:rsidR="00536336">
        <w:rPr>
          <w:sz w:val="24"/>
          <w:szCs w:val="24"/>
        </w:rPr>
        <w:t xml:space="preserve"> оцен</w:t>
      </w:r>
      <w:r>
        <w:rPr>
          <w:sz w:val="24"/>
          <w:szCs w:val="24"/>
        </w:rPr>
        <w:t>ивается</w:t>
      </w:r>
      <w:r w:rsidR="00536336">
        <w:rPr>
          <w:sz w:val="24"/>
          <w:szCs w:val="24"/>
        </w:rPr>
        <w:t xml:space="preserve"> на</w:t>
      </w:r>
      <w:r>
        <w:rPr>
          <w:sz w:val="24"/>
          <w:szCs w:val="24"/>
        </w:rPr>
        <w:t xml:space="preserve"> уровне 10</w:t>
      </w:r>
      <w:r w:rsidR="00536336">
        <w:rPr>
          <w:sz w:val="24"/>
          <w:szCs w:val="24"/>
        </w:rPr>
        <w:t>5,3 %</w:t>
      </w:r>
      <w:r>
        <w:rPr>
          <w:sz w:val="24"/>
          <w:szCs w:val="24"/>
        </w:rPr>
        <w:t xml:space="preserve"> согласно сценарным условиям социально-экономического развития Самарской области</w:t>
      </w:r>
      <w:r w:rsidR="00536336">
        <w:rPr>
          <w:sz w:val="24"/>
          <w:szCs w:val="24"/>
        </w:rPr>
        <w:t>.</w:t>
      </w:r>
    </w:p>
    <w:p w:rsidR="00A50BA4" w:rsidRPr="00555214" w:rsidRDefault="00A50BA4" w:rsidP="005B2A1C">
      <w:pPr>
        <w:numPr>
          <w:ilvl w:val="0"/>
          <w:numId w:val="3"/>
        </w:numPr>
        <w:spacing w:line="276" w:lineRule="auto"/>
        <w:ind w:left="0" w:right="-144" w:firstLine="709"/>
        <w:jc w:val="both"/>
        <w:rPr>
          <w:bCs/>
          <w:spacing w:val="2"/>
          <w:sz w:val="24"/>
          <w:szCs w:val="24"/>
        </w:rPr>
      </w:pPr>
      <w:r w:rsidRPr="0099419D">
        <w:rPr>
          <w:sz w:val="24"/>
          <w:szCs w:val="24"/>
        </w:rPr>
        <w:t>Стоимость минимального набора продуктов питания, входящих в потребительскую корзину мужчины трудоспособного возраста, в июне 201</w:t>
      </w:r>
      <w:r w:rsidR="0099419D" w:rsidRPr="0099419D">
        <w:rPr>
          <w:sz w:val="24"/>
          <w:szCs w:val="24"/>
        </w:rPr>
        <w:t>7</w:t>
      </w:r>
      <w:r w:rsidRPr="0099419D">
        <w:rPr>
          <w:sz w:val="24"/>
          <w:szCs w:val="24"/>
        </w:rPr>
        <w:t xml:space="preserve"> года составила в Тольятти </w:t>
      </w:r>
      <w:r w:rsidR="001144E4" w:rsidRPr="0099419D">
        <w:rPr>
          <w:sz w:val="24"/>
          <w:szCs w:val="24"/>
        </w:rPr>
        <w:t xml:space="preserve">                </w:t>
      </w:r>
      <w:r w:rsidRPr="0099419D">
        <w:rPr>
          <w:sz w:val="24"/>
          <w:szCs w:val="24"/>
        </w:rPr>
        <w:t xml:space="preserve">4 </w:t>
      </w:r>
      <w:r w:rsidR="0099419D" w:rsidRPr="0099419D">
        <w:rPr>
          <w:sz w:val="24"/>
          <w:szCs w:val="24"/>
        </w:rPr>
        <w:t>329</w:t>
      </w:r>
      <w:r w:rsidRPr="0099419D">
        <w:rPr>
          <w:sz w:val="24"/>
          <w:szCs w:val="24"/>
        </w:rPr>
        <w:t>,</w:t>
      </w:r>
      <w:r w:rsidR="0099419D" w:rsidRPr="0099419D">
        <w:rPr>
          <w:sz w:val="24"/>
          <w:szCs w:val="24"/>
        </w:rPr>
        <w:t>6</w:t>
      </w:r>
      <w:r w:rsidRPr="0099419D">
        <w:rPr>
          <w:sz w:val="24"/>
          <w:szCs w:val="24"/>
        </w:rPr>
        <w:t xml:space="preserve"> руб. в расчете на месяц, что выше, чем в целом по Самарской области на </w:t>
      </w:r>
      <w:r w:rsidR="0099419D" w:rsidRPr="0099419D">
        <w:rPr>
          <w:sz w:val="24"/>
          <w:szCs w:val="24"/>
        </w:rPr>
        <w:t>64,6</w:t>
      </w:r>
      <w:r w:rsidRPr="0099419D">
        <w:rPr>
          <w:sz w:val="24"/>
          <w:szCs w:val="24"/>
        </w:rPr>
        <w:t xml:space="preserve"> руб. и по городскому округу Самара на </w:t>
      </w:r>
      <w:r w:rsidR="0099419D" w:rsidRPr="0099419D">
        <w:rPr>
          <w:sz w:val="24"/>
          <w:szCs w:val="24"/>
        </w:rPr>
        <w:t>5</w:t>
      </w:r>
      <w:r w:rsidRPr="0099419D">
        <w:rPr>
          <w:sz w:val="24"/>
          <w:szCs w:val="24"/>
        </w:rPr>
        <w:t>5,</w:t>
      </w:r>
      <w:r w:rsidR="0099419D" w:rsidRPr="0099419D">
        <w:rPr>
          <w:sz w:val="24"/>
          <w:szCs w:val="24"/>
        </w:rPr>
        <w:t>2</w:t>
      </w:r>
      <w:r w:rsidRPr="0099419D">
        <w:rPr>
          <w:sz w:val="24"/>
          <w:szCs w:val="24"/>
        </w:rPr>
        <w:t xml:space="preserve"> руб. </w:t>
      </w:r>
      <w:r w:rsidRPr="00555214">
        <w:rPr>
          <w:sz w:val="24"/>
          <w:szCs w:val="24"/>
        </w:rPr>
        <w:t xml:space="preserve">(для сравнения, в среднем по Российской Федерации стоимость минимального набора продуктов питания составила </w:t>
      </w:r>
      <w:r w:rsidR="00555214" w:rsidRPr="00555214">
        <w:rPr>
          <w:sz w:val="24"/>
          <w:szCs w:val="24"/>
        </w:rPr>
        <w:t>4 233,2</w:t>
      </w:r>
      <w:r w:rsidRPr="00555214">
        <w:rPr>
          <w:sz w:val="24"/>
          <w:szCs w:val="24"/>
        </w:rPr>
        <w:t xml:space="preserve"> руб.). </w:t>
      </w:r>
    </w:p>
    <w:p w:rsidR="00A50BA4" w:rsidRPr="00483478" w:rsidRDefault="00A50BA4" w:rsidP="005B2A1C">
      <w:pPr>
        <w:numPr>
          <w:ilvl w:val="0"/>
          <w:numId w:val="3"/>
        </w:numPr>
        <w:spacing w:line="276" w:lineRule="auto"/>
        <w:ind w:left="0" w:right="-2" w:firstLine="709"/>
        <w:jc w:val="both"/>
        <w:rPr>
          <w:bCs/>
          <w:spacing w:val="2"/>
          <w:sz w:val="24"/>
          <w:szCs w:val="24"/>
        </w:rPr>
      </w:pPr>
      <w:r w:rsidRPr="00483478">
        <w:rPr>
          <w:b/>
          <w:bCs/>
          <w:spacing w:val="2"/>
          <w:sz w:val="24"/>
          <w:szCs w:val="24"/>
        </w:rPr>
        <w:t>Рост тарифов на регулируемые виды услуг</w:t>
      </w:r>
      <w:r w:rsidRPr="00483478">
        <w:rPr>
          <w:bCs/>
          <w:spacing w:val="2"/>
          <w:sz w:val="24"/>
          <w:szCs w:val="24"/>
        </w:rPr>
        <w:t xml:space="preserve"> организаций коммунального комплекса за 201</w:t>
      </w:r>
      <w:r w:rsidR="00483478">
        <w:rPr>
          <w:bCs/>
          <w:spacing w:val="2"/>
          <w:sz w:val="24"/>
          <w:szCs w:val="24"/>
        </w:rPr>
        <w:t>7</w:t>
      </w:r>
      <w:r w:rsidRPr="00483478">
        <w:rPr>
          <w:bCs/>
          <w:spacing w:val="2"/>
          <w:sz w:val="24"/>
          <w:szCs w:val="24"/>
        </w:rPr>
        <w:t xml:space="preserve"> год не превысил прогнозных значений показателей.</w:t>
      </w:r>
    </w:p>
    <w:p w:rsidR="00483478" w:rsidRPr="00483478" w:rsidRDefault="00483478" w:rsidP="00483478">
      <w:pPr>
        <w:spacing w:line="276" w:lineRule="auto"/>
        <w:ind w:right="-2" w:firstLine="709"/>
        <w:jc w:val="both"/>
        <w:rPr>
          <w:sz w:val="24"/>
          <w:szCs w:val="24"/>
        </w:rPr>
      </w:pPr>
      <w:r w:rsidRPr="00483478">
        <w:rPr>
          <w:sz w:val="24"/>
          <w:szCs w:val="24"/>
        </w:rPr>
        <w:t>Предельные индексы роста совокупной платы граждан за коммунальные услуги на 2017 год по городскому округу Тольятти утверждены постановлением Губернатора Самарской области от 19.12.2016  № 269 (ред. от 27.02.2017 № 36).</w:t>
      </w:r>
    </w:p>
    <w:p w:rsidR="00483478" w:rsidRPr="00483478" w:rsidRDefault="00483478" w:rsidP="00483478">
      <w:pPr>
        <w:numPr>
          <w:ilvl w:val="0"/>
          <w:numId w:val="3"/>
        </w:numPr>
        <w:suppressAutoHyphens w:val="0"/>
        <w:spacing w:line="276" w:lineRule="auto"/>
        <w:ind w:left="0" w:right="-2" w:firstLine="709"/>
        <w:jc w:val="both"/>
        <w:rPr>
          <w:sz w:val="24"/>
          <w:szCs w:val="24"/>
        </w:rPr>
      </w:pPr>
      <w:r w:rsidRPr="00483478">
        <w:rPr>
          <w:sz w:val="24"/>
          <w:szCs w:val="24"/>
        </w:rPr>
        <w:t>Первую половину 2017 года жители городского округа Тольятти расплачивались за жилищно-коммунальные услуги по тарифам 2016 года.</w:t>
      </w:r>
    </w:p>
    <w:p w:rsidR="00483478" w:rsidRPr="00483478" w:rsidRDefault="00483478" w:rsidP="00483478">
      <w:pPr>
        <w:numPr>
          <w:ilvl w:val="0"/>
          <w:numId w:val="3"/>
        </w:numPr>
        <w:suppressAutoHyphens w:val="0"/>
        <w:spacing w:line="276" w:lineRule="auto"/>
        <w:ind w:left="0" w:right="-2" w:firstLine="709"/>
        <w:jc w:val="both"/>
        <w:rPr>
          <w:sz w:val="24"/>
          <w:szCs w:val="24"/>
        </w:rPr>
      </w:pPr>
      <w:r w:rsidRPr="00483478">
        <w:rPr>
          <w:sz w:val="24"/>
          <w:szCs w:val="24"/>
        </w:rPr>
        <w:t>Тарифы на второе полугодие 2017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483478" w:rsidRPr="00483478" w:rsidRDefault="00483478" w:rsidP="00483478">
      <w:pPr>
        <w:spacing w:line="276" w:lineRule="auto"/>
        <w:ind w:right="-2" w:firstLine="709"/>
        <w:jc w:val="both"/>
        <w:rPr>
          <w:sz w:val="24"/>
          <w:szCs w:val="24"/>
        </w:rPr>
      </w:pPr>
      <w:r w:rsidRPr="00483478">
        <w:rPr>
          <w:sz w:val="24"/>
          <w:szCs w:val="24"/>
        </w:rPr>
        <w:t>Тарифы на теплоэнергию по городскому округу Тольятти в 2017 году составили:</w:t>
      </w:r>
    </w:p>
    <w:p w:rsidR="00483478" w:rsidRPr="00483478" w:rsidRDefault="00483478" w:rsidP="00483478">
      <w:pPr>
        <w:spacing w:line="276" w:lineRule="auto"/>
        <w:ind w:right="-2" w:firstLine="709"/>
        <w:jc w:val="both"/>
        <w:rPr>
          <w:sz w:val="24"/>
          <w:szCs w:val="24"/>
        </w:rPr>
      </w:pPr>
      <w:r w:rsidRPr="00483478">
        <w:rPr>
          <w:sz w:val="24"/>
          <w:szCs w:val="24"/>
        </w:rPr>
        <w:t>Для ПАО «Т Плюс» (СЦТ Автозаводский район г.о. Тольятти):</w:t>
      </w:r>
    </w:p>
    <w:p w:rsidR="00483478" w:rsidRPr="00483478" w:rsidRDefault="00483478" w:rsidP="00483478">
      <w:pPr>
        <w:spacing w:line="276" w:lineRule="auto"/>
        <w:ind w:right="-2" w:firstLine="709"/>
        <w:jc w:val="both"/>
        <w:rPr>
          <w:sz w:val="24"/>
          <w:szCs w:val="24"/>
        </w:rPr>
      </w:pPr>
      <w:r w:rsidRPr="00483478">
        <w:rPr>
          <w:sz w:val="24"/>
          <w:szCs w:val="24"/>
        </w:rPr>
        <w:lastRenderedPageBreak/>
        <w:t>- с 01.01.2017 г. по 30.06.2017 г.  – 1 385,32 руб./Гкал с НДС на уровне второго полугодия 2016 года;</w:t>
      </w:r>
    </w:p>
    <w:p w:rsidR="00483478" w:rsidRPr="00483478" w:rsidRDefault="00483478" w:rsidP="00483478">
      <w:pPr>
        <w:spacing w:line="276" w:lineRule="auto"/>
        <w:ind w:right="-2" w:firstLine="709"/>
        <w:jc w:val="both"/>
        <w:rPr>
          <w:sz w:val="24"/>
          <w:szCs w:val="24"/>
        </w:rPr>
      </w:pPr>
      <w:r w:rsidRPr="00483478">
        <w:rPr>
          <w:sz w:val="24"/>
          <w:szCs w:val="24"/>
        </w:rPr>
        <w:t>- с 01.07.2017 г. по 31.12.2017 г. – 1 443,14 руб./Гкал с НДС с ростом 4,2 %.</w:t>
      </w:r>
    </w:p>
    <w:p w:rsidR="00483478" w:rsidRPr="00483478" w:rsidRDefault="00483478" w:rsidP="00483478">
      <w:pPr>
        <w:spacing w:line="276" w:lineRule="auto"/>
        <w:ind w:right="-2" w:firstLine="709"/>
        <w:jc w:val="both"/>
        <w:rPr>
          <w:sz w:val="24"/>
          <w:szCs w:val="24"/>
        </w:rPr>
      </w:pPr>
      <w:r w:rsidRPr="00483478">
        <w:rPr>
          <w:sz w:val="24"/>
          <w:szCs w:val="24"/>
        </w:rPr>
        <w:t xml:space="preserve">В соответствии с протоколом заседания коллегии министерства энергетики и жилищно-коммунального хозяйства Самарской области от 23.05.2017 № 11-к внесены изменения в приказ министерства энергетики и жилищно-коммунального хозяйства Самарской области от 09.12.2015 № 579 по уменьшению утвержденного тарифа с 01.07.2017 г. на 0,73 %. </w:t>
      </w:r>
    </w:p>
    <w:p w:rsidR="00483478" w:rsidRPr="00483478" w:rsidRDefault="00483478" w:rsidP="00483478">
      <w:pPr>
        <w:spacing w:line="276" w:lineRule="auto"/>
        <w:ind w:right="-2" w:firstLine="709"/>
        <w:jc w:val="both"/>
        <w:rPr>
          <w:sz w:val="24"/>
          <w:szCs w:val="24"/>
        </w:rPr>
      </w:pPr>
      <w:r w:rsidRPr="00483478">
        <w:rPr>
          <w:sz w:val="24"/>
          <w:szCs w:val="24"/>
        </w:rPr>
        <w:t>Для ПАО «Т Плюс» (СЦТ Центральный и Комсомольский районы г.о.Тольятти):</w:t>
      </w:r>
    </w:p>
    <w:p w:rsidR="00483478" w:rsidRPr="00483478" w:rsidRDefault="00483478" w:rsidP="00483478">
      <w:pPr>
        <w:spacing w:line="276" w:lineRule="auto"/>
        <w:ind w:right="-2" w:firstLine="709"/>
        <w:jc w:val="both"/>
        <w:rPr>
          <w:sz w:val="24"/>
          <w:szCs w:val="24"/>
        </w:rPr>
      </w:pPr>
      <w:r w:rsidRPr="00483478">
        <w:rPr>
          <w:sz w:val="24"/>
          <w:szCs w:val="24"/>
        </w:rPr>
        <w:t>- с 01.01.2017 г. по 30.06.2017 г. – 1 290,92 руб./Гкал с НДС на уровне второго полугодия 2016 года;</w:t>
      </w:r>
    </w:p>
    <w:p w:rsidR="00483478" w:rsidRPr="00483478" w:rsidRDefault="00483478" w:rsidP="00483478">
      <w:pPr>
        <w:spacing w:line="276" w:lineRule="auto"/>
        <w:ind w:right="-2" w:firstLine="709"/>
        <w:jc w:val="both"/>
        <w:rPr>
          <w:sz w:val="24"/>
          <w:szCs w:val="24"/>
        </w:rPr>
      </w:pPr>
      <w:r w:rsidRPr="00483478">
        <w:rPr>
          <w:sz w:val="24"/>
          <w:szCs w:val="24"/>
        </w:rPr>
        <w:t>- с 01.07.2017 г. по 31.12.2017 г. – 1 336,94 руб./Гкал с НДС с ростом 3,6 %.</w:t>
      </w:r>
    </w:p>
    <w:p w:rsidR="00483478" w:rsidRPr="00483478" w:rsidRDefault="00483478" w:rsidP="00483478">
      <w:pPr>
        <w:spacing w:line="276" w:lineRule="auto"/>
        <w:ind w:right="-2" w:firstLine="709"/>
        <w:jc w:val="both"/>
        <w:rPr>
          <w:sz w:val="24"/>
          <w:szCs w:val="24"/>
        </w:rPr>
      </w:pPr>
      <w:r w:rsidRPr="00483478">
        <w:rPr>
          <w:sz w:val="24"/>
          <w:szCs w:val="24"/>
        </w:rPr>
        <w:t xml:space="preserve">Также, в соответствии с протоколом заседания коллегии министерства энергетики и жилищно-коммунального хозяйства Самарской области от 23.05.2017 № 11-к внесены изменения в приказ министерства энергетики и жилищно-коммунального хозяйства Самарской области от 09.12.2015 № 579 по уменьшению утвержденного тарифа с 01.07.2017 г. на 0,70 %. </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5106B1">
        <w:rPr>
          <w:rFonts w:ascii="Times New Roman" w:hAnsi="Times New Roman" w:cs="Times New Roman"/>
          <w:sz w:val="24"/>
          <w:szCs w:val="24"/>
        </w:rPr>
        <w:t>Тарифы на услуги по водоснабжению, водоотведению и очистке сточных вод организаций коммунального комплекса городского округа Тольятти в 1 полугодии 201</w:t>
      </w:r>
      <w:r>
        <w:rPr>
          <w:rFonts w:ascii="Times New Roman" w:hAnsi="Times New Roman" w:cs="Times New Roman"/>
          <w:sz w:val="24"/>
          <w:szCs w:val="24"/>
        </w:rPr>
        <w:t>7</w:t>
      </w:r>
      <w:r w:rsidRPr="005106B1">
        <w:rPr>
          <w:rFonts w:ascii="Times New Roman" w:hAnsi="Times New Roman" w:cs="Times New Roman"/>
          <w:sz w:val="24"/>
          <w:szCs w:val="24"/>
        </w:rPr>
        <w:t xml:space="preserve"> года остались на уровне второго полугодия 201</w:t>
      </w:r>
      <w:r>
        <w:rPr>
          <w:rFonts w:ascii="Times New Roman" w:hAnsi="Times New Roman" w:cs="Times New Roman"/>
          <w:sz w:val="24"/>
          <w:szCs w:val="24"/>
        </w:rPr>
        <w:t>6</w:t>
      </w:r>
      <w:r w:rsidRPr="005106B1">
        <w:rPr>
          <w:rFonts w:ascii="Times New Roman" w:hAnsi="Times New Roman" w:cs="Times New Roman"/>
          <w:sz w:val="24"/>
          <w:szCs w:val="24"/>
        </w:rPr>
        <w:t xml:space="preserve"> года, а во втором полугодии рост  по городскому округу Тольятти составил:</w:t>
      </w:r>
    </w:p>
    <w:p w:rsidR="00483478" w:rsidRPr="005106B1" w:rsidRDefault="00483478" w:rsidP="00483478">
      <w:pPr>
        <w:pStyle w:val="1f"/>
        <w:numPr>
          <w:ilvl w:val="0"/>
          <w:numId w:val="12"/>
        </w:numPr>
        <w:spacing w:line="276" w:lineRule="auto"/>
        <w:ind w:left="0" w:right="-2" w:firstLine="709"/>
        <w:jc w:val="both"/>
        <w:rPr>
          <w:rFonts w:ascii="Times New Roman" w:hAnsi="Times New Roman" w:cs="Times New Roman"/>
          <w:sz w:val="24"/>
          <w:szCs w:val="24"/>
        </w:rPr>
      </w:pPr>
      <w:r w:rsidRPr="005106B1">
        <w:rPr>
          <w:rFonts w:ascii="Times New Roman" w:hAnsi="Times New Roman" w:cs="Times New Roman"/>
          <w:sz w:val="24"/>
          <w:szCs w:val="24"/>
        </w:rPr>
        <w:t>по водоснабжению:</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5106B1">
        <w:rPr>
          <w:rFonts w:ascii="Times New Roman" w:hAnsi="Times New Roman" w:cs="Times New Roman"/>
          <w:sz w:val="24"/>
          <w:szCs w:val="24"/>
        </w:rPr>
        <w:t xml:space="preserve">для ООО «Волжские коммунальные системы» (Центральный и Комсомольский районы г.о. Тольятти) с ростом </w:t>
      </w:r>
      <w:r>
        <w:rPr>
          <w:rFonts w:ascii="Times New Roman" w:hAnsi="Times New Roman" w:cs="Times New Roman"/>
          <w:sz w:val="24"/>
          <w:szCs w:val="24"/>
        </w:rPr>
        <w:t>10,5</w:t>
      </w:r>
      <w:r w:rsidRPr="005106B1">
        <w:rPr>
          <w:rFonts w:ascii="Times New Roman" w:hAnsi="Times New Roman" w:cs="Times New Roman"/>
          <w:sz w:val="24"/>
          <w:szCs w:val="24"/>
        </w:rPr>
        <w:t xml:space="preserve"> %;</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5106B1">
        <w:rPr>
          <w:rFonts w:ascii="Times New Roman" w:hAnsi="Times New Roman" w:cs="Times New Roman"/>
          <w:sz w:val="24"/>
          <w:szCs w:val="24"/>
        </w:rPr>
        <w:t xml:space="preserve">для ОАО «ТЕВИС» (Автозаводский район г.о. Тольятти) с ростом </w:t>
      </w:r>
      <w:r>
        <w:rPr>
          <w:rFonts w:ascii="Times New Roman" w:hAnsi="Times New Roman" w:cs="Times New Roman"/>
          <w:sz w:val="24"/>
          <w:szCs w:val="24"/>
        </w:rPr>
        <w:t>11,2</w:t>
      </w:r>
      <w:r w:rsidRPr="005106B1">
        <w:rPr>
          <w:rFonts w:ascii="Times New Roman" w:hAnsi="Times New Roman" w:cs="Times New Roman"/>
          <w:sz w:val="24"/>
          <w:szCs w:val="24"/>
        </w:rPr>
        <w:t xml:space="preserve"> %.</w:t>
      </w:r>
    </w:p>
    <w:p w:rsidR="00483478" w:rsidRPr="005106B1" w:rsidRDefault="00483478" w:rsidP="00483478">
      <w:pPr>
        <w:pStyle w:val="1f"/>
        <w:numPr>
          <w:ilvl w:val="0"/>
          <w:numId w:val="12"/>
        </w:numPr>
        <w:spacing w:line="276" w:lineRule="auto"/>
        <w:ind w:left="0" w:right="-2" w:firstLine="709"/>
        <w:jc w:val="both"/>
        <w:rPr>
          <w:rFonts w:ascii="Times New Roman" w:hAnsi="Times New Roman" w:cs="Times New Roman"/>
          <w:sz w:val="24"/>
          <w:szCs w:val="24"/>
        </w:rPr>
      </w:pPr>
      <w:r w:rsidRPr="005106B1">
        <w:rPr>
          <w:rFonts w:ascii="Times New Roman" w:hAnsi="Times New Roman" w:cs="Times New Roman"/>
          <w:sz w:val="24"/>
          <w:szCs w:val="24"/>
        </w:rPr>
        <w:t>по водоотведению и очистке сточных вод:</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5106B1">
        <w:rPr>
          <w:rFonts w:ascii="Times New Roman" w:hAnsi="Times New Roman" w:cs="Times New Roman"/>
          <w:sz w:val="24"/>
          <w:szCs w:val="24"/>
        </w:rPr>
        <w:t xml:space="preserve">для ООО «Волжские коммунальные системы» (Центральный и Комсомольский районы г.о. Тольятти) с ростом </w:t>
      </w:r>
      <w:r>
        <w:rPr>
          <w:rFonts w:ascii="Times New Roman" w:hAnsi="Times New Roman" w:cs="Times New Roman"/>
          <w:sz w:val="24"/>
          <w:szCs w:val="24"/>
        </w:rPr>
        <w:t>9,6</w:t>
      </w:r>
      <w:r w:rsidRPr="005106B1">
        <w:rPr>
          <w:rFonts w:ascii="Times New Roman" w:hAnsi="Times New Roman" w:cs="Times New Roman"/>
          <w:sz w:val="24"/>
          <w:szCs w:val="24"/>
        </w:rPr>
        <w:t xml:space="preserve"> %;</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5106B1">
        <w:rPr>
          <w:rFonts w:ascii="Times New Roman" w:hAnsi="Times New Roman" w:cs="Times New Roman"/>
          <w:sz w:val="24"/>
          <w:szCs w:val="24"/>
        </w:rPr>
        <w:t xml:space="preserve">для ОАО «ТЕВИС» (Автозаводский район г.о. Тольятти) с ростом </w:t>
      </w:r>
      <w:r>
        <w:rPr>
          <w:rFonts w:ascii="Times New Roman" w:hAnsi="Times New Roman" w:cs="Times New Roman"/>
          <w:sz w:val="24"/>
          <w:szCs w:val="24"/>
        </w:rPr>
        <w:t>9,</w:t>
      </w:r>
      <w:r w:rsidRPr="00D23590">
        <w:rPr>
          <w:rFonts w:ascii="Times New Roman" w:hAnsi="Times New Roman" w:cs="Times New Roman"/>
          <w:sz w:val="24"/>
          <w:szCs w:val="24"/>
        </w:rPr>
        <w:t>6 %</w:t>
      </w:r>
      <w:r w:rsidRPr="005106B1">
        <w:rPr>
          <w:rFonts w:ascii="Times New Roman" w:hAnsi="Times New Roman" w:cs="Times New Roman"/>
          <w:sz w:val="24"/>
          <w:szCs w:val="24"/>
        </w:rPr>
        <w:t xml:space="preserve"> для не нормируемых абонентов (население) </w:t>
      </w:r>
      <w:r w:rsidRPr="00D23590">
        <w:rPr>
          <w:rFonts w:ascii="Times New Roman" w:hAnsi="Times New Roman" w:cs="Times New Roman"/>
          <w:sz w:val="24"/>
          <w:szCs w:val="24"/>
        </w:rPr>
        <w:t>и 14,5 %</w:t>
      </w:r>
      <w:r w:rsidRPr="005106B1">
        <w:rPr>
          <w:rFonts w:ascii="Times New Roman" w:hAnsi="Times New Roman" w:cs="Times New Roman"/>
          <w:sz w:val="24"/>
          <w:szCs w:val="24"/>
        </w:rPr>
        <w:t xml:space="preserve"> для абонентов, для которых устанавливаются нормативы водоотведения (сброса) по составу сточных вод.</w:t>
      </w:r>
    </w:p>
    <w:p w:rsidR="00483478" w:rsidRPr="005106B1" w:rsidRDefault="00483478" w:rsidP="00483478">
      <w:pPr>
        <w:pStyle w:val="ConsPlusTitle"/>
        <w:spacing w:line="276" w:lineRule="auto"/>
        <w:ind w:right="-2" w:firstLine="709"/>
        <w:jc w:val="both"/>
        <w:rPr>
          <w:rFonts w:ascii="Times New Roman" w:hAnsi="Times New Roman" w:cs="Times New Roman"/>
          <w:b w:val="0"/>
          <w:bCs w:val="0"/>
          <w:sz w:val="24"/>
          <w:szCs w:val="24"/>
        </w:rPr>
      </w:pPr>
      <w:r w:rsidRPr="005106B1">
        <w:rPr>
          <w:rFonts w:ascii="Times New Roman" w:hAnsi="Times New Roman" w:cs="Times New Roman"/>
          <w:b w:val="0"/>
          <w:bCs w:val="0"/>
          <w:sz w:val="24"/>
          <w:szCs w:val="24"/>
        </w:rPr>
        <w:t>Рост тарифов на электрическую энергию для населения с 01.07.201</w:t>
      </w:r>
      <w:r>
        <w:rPr>
          <w:rFonts w:ascii="Times New Roman" w:hAnsi="Times New Roman" w:cs="Times New Roman"/>
          <w:b w:val="0"/>
          <w:bCs w:val="0"/>
          <w:sz w:val="24"/>
          <w:szCs w:val="24"/>
        </w:rPr>
        <w:t>7</w:t>
      </w:r>
      <w:r w:rsidRPr="005106B1">
        <w:rPr>
          <w:rFonts w:ascii="Times New Roman" w:hAnsi="Times New Roman" w:cs="Times New Roman"/>
          <w:b w:val="0"/>
          <w:bCs w:val="0"/>
          <w:sz w:val="24"/>
          <w:szCs w:val="24"/>
        </w:rPr>
        <w:t xml:space="preserve"> г. составил:</w:t>
      </w:r>
    </w:p>
    <w:p w:rsidR="00483478" w:rsidRPr="005106B1" w:rsidRDefault="00483478" w:rsidP="00483478">
      <w:pPr>
        <w:pStyle w:val="ConsPlusTitle"/>
        <w:spacing w:line="276" w:lineRule="auto"/>
        <w:ind w:right="-2" w:firstLine="709"/>
        <w:jc w:val="both"/>
        <w:rPr>
          <w:rFonts w:ascii="Times New Roman" w:hAnsi="Times New Roman" w:cs="Times New Roman"/>
          <w:b w:val="0"/>
          <w:bCs w:val="0"/>
          <w:sz w:val="24"/>
          <w:szCs w:val="24"/>
        </w:rPr>
      </w:pPr>
      <w:r w:rsidRPr="005106B1">
        <w:rPr>
          <w:rFonts w:ascii="Times New Roman" w:hAnsi="Times New Roman" w:cs="Times New Roman"/>
          <w:b w:val="0"/>
          <w:bCs w:val="0"/>
          <w:sz w:val="24"/>
          <w:szCs w:val="24"/>
        </w:rPr>
        <w:t xml:space="preserve">- одноставочный тариф – </w:t>
      </w:r>
      <w:r>
        <w:rPr>
          <w:rFonts w:ascii="Times New Roman" w:hAnsi="Times New Roman" w:cs="Times New Roman"/>
          <w:b w:val="0"/>
          <w:bCs w:val="0"/>
          <w:sz w:val="24"/>
          <w:szCs w:val="24"/>
        </w:rPr>
        <w:t>4,7</w:t>
      </w:r>
      <w:r w:rsidRPr="005106B1">
        <w:rPr>
          <w:rFonts w:ascii="Times New Roman" w:hAnsi="Times New Roman" w:cs="Times New Roman"/>
          <w:b w:val="0"/>
          <w:bCs w:val="0"/>
          <w:sz w:val="24"/>
          <w:szCs w:val="24"/>
        </w:rPr>
        <w:t xml:space="preserve"> %;</w:t>
      </w:r>
    </w:p>
    <w:p w:rsidR="00483478" w:rsidRPr="005106B1" w:rsidRDefault="00483478" w:rsidP="00483478">
      <w:pPr>
        <w:pStyle w:val="ConsPlusTitle"/>
        <w:spacing w:line="276" w:lineRule="auto"/>
        <w:ind w:right="-2" w:firstLine="709"/>
        <w:jc w:val="both"/>
        <w:rPr>
          <w:rFonts w:ascii="Times New Roman" w:hAnsi="Times New Roman" w:cs="Times New Roman"/>
          <w:b w:val="0"/>
          <w:bCs w:val="0"/>
          <w:sz w:val="24"/>
          <w:szCs w:val="24"/>
        </w:rPr>
      </w:pPr>
      <w:r w:rsidRPr="005106B1">
        <w:rPr>
          <w:rFonts w:ascii="Times New Roman" w:hAnsi="Times New Roman" w:cs="Times New Roman"/>
          <w:b w:val="0"/>
          <w:bCs w:val="0"/>
          <w:sz w:val="24"/>
          <w:szCs w:val="24"/>
        </w:rPr>
        <w:t xml:space="preserve"> - одноставочный тариф, дифференцированный по двум зонам суток – </w:t>
      </w:r>
      <w:r>
        <w:rPr>
          <w:rFonts w:ascii="Times New Roman" w:hAnsi="Times New Roman" w:cs="Times New Roman"/>
          <w:b w:val="0"/>
          <w:bCs w:val="0"/>
          <w:sz w:val="24"/>
          <w:szCs w:val="24"/>
        </w:rPr>
        <w:t>6,00</w:t>
      </w:r>
      <w:r w:rsidRPr="005106B1">
        <w:rPr>
          <w:rFonts w:ascii="Times New Roman" w:hAnsi="Times New Roman" w:cs="Times New Roman"/>
          <w:b w:val="0"/>
          <w:bCs w:val="0"/>
          <w:sz w:val="24"/>
          <w:szCs w:val="24"/>
        </w:rPr>
        <w:t xml:space="preserve"> %.</w:t>
      </w:r>
    </w:p>
    <w:p w:rsidR="00483478" w:rsidRPr="005106B1" w:rsidRDefault="00483478" w:rsidP="00483478">
      <w:pPr>
        <w:pStyle w:val="ConsPlusTitle"/>
        <w:spacing w:line="276" w:lineRule="auto"/>
        <w:ind w:right="-2" w:firstLine="709"/>
        <w:jc w:val="both"/>
        <w:rPr>
          <w:rFonts w:ascii="Times New Roman" w:hAnsi="Times New Roman" w:cs="Times New Roman"/>
          <w:b w:val="0"/>
          <w:bCs w:val="0"/>
          <w:sz w:val="24"/>
          <w:szCs w:val="24"/>
        </w:rPr>
      </w:pPr>
      <w:r w:rsidRPr="005106B1">
        <w:rPr>
          <w:rFonts w:ascii="Times New Roman" w:hAnsi="Times New Roman" w:cs="Times New Roman"/>
          <w:b w:val="0"/>
          <w:bCs w:val="0"/>
          <w:sz w:val="24"/>
          <w:szCs w:val="24"/>
        </w:rPr>
        <w:t>Рост тарифов на газ природный, реализуемый населению Самарской области, с 01.07.201</w:t>
      </w:r>
      <w:r>
        <w:rPr>
          <w:rFonts w:ascii="Times New Roman" w:hAnsi="Times New Roman" w:cs="Times New Roman"/>
          <w:b w:val="0"/>
          <w:bCs w:val="0"/>
          <w:sz w:val="24"/>
          <w:szCs w:val="24"/>
        </w:rPr>
        <w:t>7</w:t>
      </w:r>
      <w:r w:rsidRPr="005106B1">
        <w:rPr>
          <w:rFonts w:ascii="Times New Roman" w:hAnsi="Times New Roman" w:cs="Times New Roman"/>
          <w:b w:val="0"/>
          <w:bCs w:val="0"/>
          <w:sz w:val="24"/>
          <w:szCs w:val="24"/>
        </w:rPr>
        <w:t xml:space="preserve"> г. составил 4</w:t>
      </w:r>
      <w:r>
        <w:rPr>
          <w:rFonts w:ascii="Times New Roman" w:hAnsi="Times New Roman" w:cs="Times New Roman"/>
          <w:b w:val="0"/>
          <w:bCs w:val="0"/>
          <w:sz w:val="24"/>
          <w:szCs w:val="24"/>
        </w:rPr>
        <w:t xml:space="preserve">,3 </w:t>
      </w:r>
      <w:r w:rsidRPr="005106B1">
        <w:rPr>
          <w:rFonts w:ascii="Times New Roman" w:hAnsi="Times New Roman" w:cs="Times New Roman"/>
          <w:b w:val="0"/>
          <w:bCs w:val="0"/>
          <w:sz w:val="24"/>
          <w:szCs w:val="24"/>
        </w:rPr>
        <w:t>%.</w:t>
      </w:r>
    </w:p>
    <w:p w:rsidR="00483478" w:rsidRPr="005106B1" w:rsidRDefault="00483478" w:rsidP="00483478">
      <w:pPr>
        <w:pStyle w:val="ConsPlusTitle"/>
        <w:spacing w:line="276" w:lineRule="auto"/>
        <w:ind w:right="-2" w:firstLine="709"/>
        <w:jc w:val="both"/>
        <w:rPr>
          <w:rFonts w:ascii="Times New Roman" w:hAnsi="Times New Roman" w:cs="Times New Roman"/>
          <w:b w:val="0"/>
          <w:bCs w:val="0"/>
          <w:sz w:val="24"/>
          <w:szCs w:val="24"/>
        </w:rPr>
      </w:pPr>
      <w:r w:rsidRPr="005106B1">
        <w:rPr>
          <w:rFonts w:ascii="Times New Roman" w:hAnsi="Times New Roman" w:cs="Times New Roman"/>
          <w:b w:val="0"/>
          <w:bCs w:val="0"/>
          <w:sz w:val="24"/>
          <w:szCs w:val="24"/>
        </w:rPr>
        <w:t>Рост тарифов по содержанию жилых помещений для нанимателей муниципального жилищного фонда с 01.0</w:t>
      </w:r>
      <w:r>
        <w:rPr>
          <w:rFonts w:ascii="Times New Roman" w:hAnsi="Times New Roman" w:cs="Times New Roman"/>
          <w:b w:val="0"/>
          <w:bCs w:val="0"/>
          <w:sz w:val="24"/>
          <w:szCs w:val="24"/>
        </w:rPr>
        <w:t>7</w:t>
      </w:r>
      <w:r w:rsidRPr="005106B1">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5106B1">
        <w:rPr>
          <w:rFonts w:ascii="Times New Roman" w:hAnsi="Times New Roman" w:cs="Times New Roman"/>
          <w:b w:val="0"/>
          <w:bCs w:val="0"/>
          <w:sz w:val="24"/>
          <w:szCs w:val="24"/>
        </w:rPr>
        <w:t xml:space="preserve"> г. по степени благоустройства не превысил </w:t>
      </w:r>
      <w:r>
        <w:rPr>
          <w:rFonts w:ascii="Times New Roman" w:hAnsi="Times New Roman" w:cs="Times New Roman"/>
          <w:b w:val="0"/>
          <w:bCs w:val="0"/>
          <w:sz w:val="24"/>
          <w:szCs w:val="24"/>
        </w:rPr>
        <w:t>6</w:t>
      </w:r>
      <w:r w:rsidRPr="00162163">
        <w:rPr>
          <w:rFonts w:ascii="Times New Roman" w:hAnsi="Times New Roman" w:cs="Times New Roman"/>
          <w:b w:val="0"/>
          <w:bCs w:val="0"/>
          <w:sz w:val="24"/>
          <w:szCs w:val="24"/>
        </w:rPr>
        <w:t>,3 % (без</w:t>
      </w:r>
      <w:r w:rsidRPr="005106B1">
        <w:rPr>
          <w:rFonts w:ascii="Times New Roman" w:hAnsi="Times New Roman" w:cs="Times New Roman"/>
          <w:b w:val="0"/>
          <w:bCs w:val="0"/>
          <w:sz w:val="24"/>
          <w:szCs w:val="24"/>
        </w:rPr>
        <w:t xml:space="preserve"> учета влияния субсидий на утилизацию твердых бытовых отходов).</w:t>
      </w:r>
    </w:p>
    <w:p w:rsidR="00483478" w:rsidRPr="00E72BEC"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t>Постановлением мэрии городского округа Тольятти от 28.12.2016 № 4519-п/1 утверждены регулируемые тарифы на перевозки пассажиров и багажа по муниципальным маршрутам регулярных перевозок в городском округе Тольятти с 01.01.2017</w:t>
      </w:r>
      <w:r w:rsidR="00756B07">
        <w:rPr>
          <w:rFonts w:ascii="Times New Roman" w:hAnsi="Times New Roman" w:cs="Times New Roman"/>
          <w:sz w:val="24"/>
          <w:szCs w:val="24"/>
        </w:rPr>
        <w:t xml:space="preserve"> </w:t>
      </w:r>
      <w:r w:rsidRPr="00E72BEC">
        <w:rPr>
          <w:rFonts w:ascii="Times New Roman" w:hAnsi="Times New Roman" w:cs="Times New Roman"/>
          <w:sz w:val="24"/>
          <w:szCs w:val="24"/>
        </w:rPr>
        <w:t>г.:</w:t>
      </w:r>
    </w:p>
    <w:p w:rsidR="00483478" w:rsidRPr="00E72BEC"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t>- регулируемые тарифы на перевозки пассажиров и багажа при приобретении билета на одну поездку в размере 25 рублей;</w:t>
      </w:r>
    </w:p>
    <w:p w:rsidR="00483478" w:rsidRPr="00E72BEC"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lastRenderedPageBreak/>
        <w:t>- льготные регулируемые тарифы на перевозки пассажиров и багажа при оплате транспортными картами жителя городского округа Тольятти в размере 23 рубля;</w:t>
      </w:r>
    </w:p>
    <w:p w:rsidR="00483478" w:rsidRPr="00E72BEC"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t>- стоимость льготного электронного проездного билета «Студенческий» на месяц на два вида транспорта (автобус, троллейбус) в размере 840 рублей;</w:t>
      </w:r>
    </w:p>
    <w:p w:rsidR="00483478" w:rsidRPr="00E72BEC"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t>- стоимость льготного электронного проездного билета «Для учащихся» на месяц на два вида транспорта (автобус, троллейбус) в размере 600 рублей;</w:t>
      </w:r>
    </w:p>
    <w:p w:rsidR="00483478" w:rsidRPr="005106B1" w:rsidRDefault="00483478" w:rsidP="00483478">
      <w:pPr>
        <w:pStyle w:val="1f"/>
        <w:spacing w:line="276" w:lineRule="auto"/>
        <w:ind w:right="-2" w:firstLine="709"/>
        <w:jc w:val="both"/>
        <w:rPr>
          <w:rFonts w:ascii="Times New Roman" w:hAnsi="Times New Roman" w:cs="Times New Roman"/>
          <w:sz w:val="24"/>
          <w:szCs w:val="24"/>
        </w:rPr>
      </w:pPr>
      <w:r w:rsidRPr="00E72BEC">
        <w:rPr>
          <w:rFonts w:ascii="Times New Roman" w:hAnsi="Times New Roman" w:cs="Times New Roman"/>
          <w:sz w:val="24"/>
          <w:szCs w:val="24"/>
        </w:rPr>
        <w:t>- стоимость безлимитной единой транспортной карты на два вида транспорта (автобус, троллейбус) в размере 1 000 рублей.</w:t>
      </w:r>
    </w:p>
    <w:p w:rsidR="00616D7E" w:rsidRDefault="00616D7E" w:rsidP="004D3812">
      <w:pPr>
        <w:pStyle w:val="1f"/>
        <w:spacing w:line="276" w:lineRule="auto"/>
        <w:ind w:right="-1"/>
        <w:jc w:val="center"/>
        <w:rPr>
          <w:rFonts w:ascii="Times New Roman" w:hAnsi="Times New Roman" w:cs="Times New Roman"/>
          <w:b/>
          <w:sz w:val="24"/>
          <w:szCs w:val="24"/>
        </w:rPr>
      </w:pPr>
    </w:p>
    <w:p w:rsidR="004D3812" w:rsidRPr="00CF18D0" w:rsidRDefault="004D3812" w:rsidP="004D3812">
      <w:pPr>
        <w:pStyle w:val="1f"/>
        <w:spacing w:line="276" w:lineRule="auto"/>
        <w:ind w:right="-1"/>
        <w:jc w:val="center"/>
        <w:rPr>
          <w:rFonts w:ascii="Times New Roman" w:hAnsi="Times New Roman" w:cs="Times New Roman"/>
          <w:b/>
          <w:sz w:val="24"/>
          <w:szCs w:val="24"/>
        </w:rPr>
      </w:pPr>
      <w:r w:rsidRPr="00CF18D0">
        <w:rPr>
          <w:rFonts w:ascii="Times New Roman" w:hAnsi="Times New Roman" w:cs="Times New Roman"/>
          <w:b/>
          <w:sz w:val="24"/>
          <w:szCs w:val="24"/>
        </w:rPr>
        <w:t xml:space="preserve">Промышленное производство </w:t>
      </w:r>
    </w:p>
    <w:p w:rsidR="004D3812" w:rsidRPr="00CF18D0" w:rsidRDefault="004D3812" w:rsidP="004D3812">
      <w:pPr>
        <w:pStyle w:val="1f"/>
        <w:spacing w:line="276" w:lineRule="auto"/>
        <w:ind w:right="-1"/>
        <w:jc w:val="center"/>
        <w:rPr>
          <w:rFonts w:ascii="Times New Roman" w:hAnsi="Times New Roman" w:cs="Times New Roman"/>
          <w:b/>
          <w:sz w:val="24"/>
          <w:szCs w:val="24"/>
        </w:rPr>
      </w:pPr>
      <w:r w:rsidRPr="00CF18D0">
        <w:rPr>
          <w:rFonts w:ascii="Times New Roman" w:hAnsi="Times New Roman" w:cs="Times New Roman"/>
          <w:b/>
          <w:sz w:val="24"/>
          <w:szCs w:val="24"/>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D3812" w:rsidRPr="00CF18D0" w:rsidRDefault="004D3812" w:rsidP="004D3812">
      <w:pPr>
        <w:pStyle w:val="1f"/>
        <w:spacing w:line="276" w:lineRule="auto"/>
        <w:ind w:right="-1"/>
        <w:jc w:val="center"/>
        <w:rPr>
          <w:rFonts w:ascii="Times New Roman" w:hAnsi="Times New Roman" w:cs="Times New Roman"/>
          <w:b/>
          <w:sz w:val="24"/>
          <w:szCs w:val="24"/>
        </w:rPr>
      </w:pPr>
    </w:p>
    <w:p w:rsidR="004D3812" w:rsidRPr="00CF18D0" w:rsidRDefault="004D3812" w:rsidP="005B2A1C">
      <w:pPr>
        <w:pStyle w:val="38"/>
        <w:spacing w:line="276" w:lineRule="auto"/>
        <w:ind w:firstLine="709"/>
        <w:jc w:val="both"/>
        <w:rPr>
          <w:rFonts w:ascii="Times New Roman" w:hAnsi="Times New Roman" w:cs="Times New Roman"/>
          <w:sz w:val="24"/>
          <w:szCs w:val="24"/>
        </w:rPr>
      </w:pPr>
      <w:r w:rsidRPr="00CF18D0">
        <w:rPr>
          <w:rFonts w:ascii="Times New Roman" w:hAnsi="Times New Roman" w:cs="Times New Roman"/>
          <w:sz w:val="24"/>
          <w:szCs w:val="24"/>
        </w:rPr>
        <w:t>Промышленность</w:t>
      </w:r>
      <w:bookmarkStart w:id="0" w:name="промышлен"/>
      <w:bookmarkEnd w:id="0"/>
      <w:r w:rsidRPr="00CF18D0">
        <w:rPr>
          <w:rFonts w:ascii="Times New Roman" w:hAnsi="Times New Roman" w:cs="Times New Roman"/>
          <w:sz w:val="24"/>
          <w:szCs w:val="24"/>
        </w:rPr>
        <w:t xml:space="preserve"> городского округа Тольятти представляет собой многоотраслевой комплекс, в структуре которого преобладает обрабатывающий сектор. В городском округе насчитывается около 100 </w:t>
      </w:r>
      <w:r>
        <w:rPr>
          <w:rFonts w:ascii="Times New Roman" w:hAnsi="Times New Roman" w:cs="Times New Roman"/>
          <w:sz w:val="24"/>
          <w:szCs w:val="24"/>
        </w:rPr>
        <w:t xml:space="preserve">крупных и средних </w:t>
      </w:r>
      <w:r w:rsidRPr="00CF18D0">
        <w:rPr>
          <w:rFonts w:ascii="Times New Roman" w:hAnsi="Times New Roman" w:cs="Times New Roman"/>
          <w:sz w:val="24"/>
          <w:szCs w:val="24"/>
        </w:rPr>
        <w:t>промышленных организаций.</w:t>
      </w:r>
    </w:p>
    <w:p w:rsidR="004D3812" w:rsidRPr="00CF18D0" w:rsidRDefault="004D3812" w:rsidP="005B2A1C">
      <w:pPr>
        <w:pStyle w:val="38"/>
        <w:spacing w:line="276" w:lineRule="auto"/>
        <w:ind w:firstLine="709"/>
        <w:jc w:val="both"/>
        <w:rPr>
          <w:rFonts w:ascii="Times New Roman" w:hAnsi="Times New Roman" w:cs="Times New Roman"/>
          <w:sz w:val="24"/>
          <w:szCs w:val="24"/>
        </w:rPr>
      </w:pPr>
      <w:r w:rsidRPr="00CF18D0">
        <w:rPr>
          <w:rFonts w:ascii="Times New Roman" w:hAnsi="Times New Roman" w:cs="Times New Roman"/>
          <w:sz w:val="24"/>
          <w:szCs w:val="24"/>
        </w:rPr>
        <w:t>В 2017 год</w:t>
      </w:r>
      <w:r>
        <w:rPr>
          <w:rFonts w:ascii="Times New Roman" w:hAnsi="Times New Roman" w:cs="Times New Roman"/>
          <w:sz w:val="24"/>
          <w:szCs w:val="24"/>
        </w:rPr>
        <w:t>у</w:t>
      </w:r>
      <w:r w:rsidRPr="00CF18D0">
        <w:rPr>
          <w:rFonts w:ascii="Times New Roman" w:hAnsi="Times New Roman" w:cs="Times New Roman"/>
          <w:sz w:val="24"/>
          <w:szCs w:val="24"/>
        </w:rPr>
        <w:t xml:space="preserve"> в промышленном комплексе городского округа Тольятти отмечается положительная динамика развития. Так, объем отгруженной промышленной продукции за </w:t>
      </w:r>
      <w:r>
        <w:rPr>
          <w:rFonts w:ascii="Times New Roman" w:hAnsi="Times New Roman" w:cs="Times New Roman"/>
          <w:sz w:val="24"/>
          <w:szCs w:val="24"/>
        </w:rPr>
        <w:t>1 полугодие текущего года</w:t>
      </w:r>
      <w:r w:rsidRPr="00CF18D0">
        <w:rPr>
          <w:rFonts w:ascii="Times New Roman" w:hAnsi="Times New Roman" w:cs="Times New Roman"/>
          <w:sz w:val="24"/>
          <w:szCs w:val="24"/>
        </w:rPr>
        <w:t xml:space="preserve"> увеличился на 8,7 % в сравнении с </w:t>
      </w:r>
      <w:r>
        <w:rPr>
          <w:rFonts w:ascii="Times New Roman" w:hAnsi="Times New Roman" w:cs="Times New Roman"/>
          <w:sz w:val="24"/>
          <w:szCs w:val="24"/>
        </w:rPr>
        <w:t>1 полугодием</w:t>
      </w:r>
      <w:r w:rsidRPr="00CF18D0">
        <w:rPr>
          <w:rFonts w:ascii="Times New Roman" w:hAnsi="Times New Roman" w:cs="Times New Roman"/>
          <w:sz w:val="24"/>
          <w:szCs w:val="24"/>
        </w:rPr>
        <w:t xml:space="preserve"> 2016 года в действующих ценах до 210 171,9 млн. руб., в том числе в обрабатывающем секторе -  на 9,0 % до 194 067,7 млн. руб. </w:t>
      </w:r>
      <w:r w:rsidR="00C071EB">
        <w:rPr>
          <w:rFonts w:ascii="Times New Roman" w:hAnsi="Times New Roman" w:cs="Times New Roman"/>
          <w:sz w:val="24"/>
          <w:szCs w:val="24"/>
        </w:rPr>
        <w:t xml:space="preserve">Тольятти занял </w:t>
      </w:r>
      <w:r w:rsidR="00C071EB" w:rsidRPr="00C071EB">
        <w:rPr>
          <w:rFonts w:ascii="Times New Roman" w:hAnsi="Times New Roman" w:cs="Times New Roman"/>
          <w:sz w:val="24"/>
          <w:szCs w:val="24"/>
        </w:rPr>
        <w:t xml:space="preserve">3 место по отгрузке промышленной продукции на душу населения (значение показателя – 295 855 рублей). </w:t>
      </w:r>
      <w:r>
        <w:rPr>
          <w:rFonts w:ascii="Times New Roman" w:hAnsi="Times New Roman" w:cs="Times New Roman"/>
          <w:sz w:val="24"/>
          <w:szCs w:val="24"/>
        </w:rPr>
        <w:t>Р</w:t>
      </w:r>
      <w:r w:rsidRPr="00CF18D0">
        <w:rPr>
          <w:rFonts w:ascii="Times New Roman" w:hAnsi="Times New Roman" w:cs="Times New Roman"/>
          <w:sz w:val="24"/>
          <w:szCs w:val="24"/>
        </w:rPr>
        <w:t xml:space="preserve">ост объемов реализации </w:t>
      </w:r>
      <w:r>
        <w:rPr>
          <w:rFonts w:ascii="Times New Roman" w:hAnsi="Times New Roman" w:cs="Times New Roman"/>
          <w:sz w:val="24"/>
          <w:szCs w:val="24"/>
        </w:rPr>
        <w:t>продукции наблюдался по</w:t>
      </w:r>
      <w:r w:rsidRPr="00CF18D0">
        <w:rPr>
          <w:rFonts w:ascii="Times New Roman" w:hAnsi="Times New Roman" w:cs="Times New Roman"/>
          <w:sz w:val="24"/>
          <w:szCs w:val="24"/>
        </w:rPr>
        <w:t xml:space="preserve"> 11 вида</w:t>
      </w:r>
      <w:r>
        <w:rPr>
          <w:rFonts w:ascii="Times New Roman" w:hAnsi="Times New Roman" w:cs="Times New Roman"/>
          <w:sz w:val="24"/>
          <w:szCs w:val="24"/>
        </w:rPr>
        <w:t>м</w:t>
      </w:r>
      <w:r w:rsidRPr="00CF18D0">
        <w:rPr>
          <w:rFonts w:ascii="Times New Roman" w:hAnsi="Times New Roman" w:cs="Times New Roman"/>
          <w:sz w:val="24"/>
          <w:szCs w:val="24"/>
        </w:rPr>
        <w:t xml:space="preserve"> производств</w:t>
      </w:r>
      <w:r>
        <w:rPr>
          <w:rFonts w:ascii="Times New Roman" w:hAnsi="Times New Roman" w:cs="Times New Roman"/>
          <w:sz w:val="24"/>
          <w:szCs w:val="24"/>
        </w:rPr>
        <w:t>,</w:t>
      </w:r>
      <w:r w:rsidRPr="00CF18D0">
        <w:rPr>
          <w:rFonts w:ascii="Times New Roman" w:hAnsi="Times New Roman" w:cs="Times New Roman"/>
          <w:sz w:val="24"/>
          <w:szCs w:val="24"/>
        </w:rPr>
        <w:t xml:space="preserve"> </w:t>
      </w:r>
      <w:r>
        <w:rPr>
          <w:rFonts w:ascii="Times New Roman" w:hAnsi="Times New Roman" w:cs="Times New Roman"/>
          <w:sz w:val="24"/>
          <w:szCs w:val="24"/>
        </w:rPr>
        <w:t>с</w:t>
      </w:r>
      <w:r w:rsidRPr="00CF18D0">
        <w:rPr>
          <w:rFonts w:ascii="Times New Roman" w:hAnsi="Times New Roman" w:cs="Times New Roman"/>
          <w:sz w:val="24"/>
          <w:szCs w:val="24"/>
        </w:rPr>
        <w:t>реди которых наиболее значимый</w:t>
      </w:r>
      <w:r>
        <w:rPr>
          <w:rFonts w:ascii="Times New Roman" w:hAnsi="Times New Roman" w:cs="Times New Roman"/>
          <w:sz w:val="24"/>
          <w:szCs w:val="24"/>
        </w:rPr>
        <w:t xml:space="preserve"> (</w:t>
      </w:r>
      <w:r w:rsidRPr="00CF18D0">
        <w:rPr>
          <w:rFonts w:ascii="Times New Roman" w:hAnsi="Times New Roman" w:cs="Times New Roman"/>
          <w:sz w:val="24"/>
          <w:szCs w:val="24"/>
        </w:rPr>
        <w:t>60,5 % в общем объеме отгруженных товаров</w:t>
      </w:r>
      <w:r>
        <w:rPr>
          <w:rFonts w:ascii="Times New Roman" w:hAnsi="Times New Roman" w:cs="Times New Roman"/>
          <w:sz w:val="24"/>
          <w:szCs w:val="24"/>
        </w:rPr>
        <w:t xml:space="preserve">) </w:t>
      </w:r>
      <w:r w:rsidRPr="00CF18D0">
        <w:rPr>
          <w:rFonts w:ascii="Times New Roman" w:hAnsi="Times New Roman" w:cs="Times New Roman"/>
          <w:sz w:val="24"/>
          <w:szCs w:val="24"/>
        </w:rPr>
        <w:t>– производство автотранспортных средств, прицепов и полуприцепов.</w:t>
      </w:r>
    </w:p>
    <w:p w:rsidR="004D3812" w:rsidRPr="004D3812" w:rsidRDefault="004D3812" w:rsidP="005B2A1C">
      <w:pPr>
        <w:pStyle w:val="38"/>
        <w:spacing w:line="276" w:lineRule="auto"/>
        <w:ind w:firstLine="709"/>
        <w:jc w:val="both"/>
        <w:rPr>
          <w:rFonts w:ascii="Times New Roman" w:hAnsi="Times New Roman" w:cs="Times New Roman"/>
          <w:sz w:val="24"/>
          <w:szCs w:val="24"/>
        </w:rPr>
      </w:pPr>
      <w:r w:rsidRPr="00CF18D0">
        <w:rPr>
          <w:rFonts w:ascii="Times New Roman" w:hAnsi="Times New Roman" w:cs="Times New Roman"/>
          <w:sz w:val="24"/>
          <w:szCs w:val="24"/>
        </w:rPr>
        <w:t xml:space="preserve">В январе-июне 2017 года произведено 160,0  тыс. легковых автомобилей, </w:t>
      </w:r>
      <w:r w:rsidR="005B2A1C">
        <w:rPr>
          <w:rFonts w:ascii="Times New Roman" w:hAnsi="Times New Roman" w:cs="Times New Roman"/>
          <w:sz w:val="24"/>
          <w:szCs w:val="24"/>
        </w:rPr>
        <w:t>что на 8,4 % больше, чем в 1 полугодии 2016 года. Н</w:t>
      </w:r>
      <w:r w:rsidRPr="00CF18D0">
        <w:rPr>
          <w:rFonts w:ascii="Times New Roman" w:hAnsi="Times New Roman" w:cs="Times New Roman"/>
          <w:sz w:val="24"/>
          <w:szCs w:val="24"/>
        </w:rPr>
        <w:t>а долю ПАО «АВТОВАЗ» пришлось 90 %</w:t>
      </w:r>
      <w:r w:rsidR="005B2A1C">
        <w:rPr>
          <w:rFonts w:ascii="Times New Roman" w:hAnsi="Times New Roman" w:cs="Times New Roman"/>
          <w:sz w:val="24"/>
          <w:szCs w:val="24"/>
        </w:rPr>
        <w:t xml:space="preserve"> выпущенных автомобилей.</w:t>
      </w:r>
      <w:r w:rsidRPr="00CF18D0">
        <w:rPr>
          <w:rFonts w:ascii="Times New Roman" w:hAnsi="Times New Roman" w:cs="Times New Roman"/>
          <w:sz w:val="24"/>
          <w:szCs w:val="24"/>
        </w:rPr>
        <w:t xml:space="preserve"> </w:t>
      </w:r>
    </w:p>
    <w:p w:rsidR="004D3812" w:rsidRPr="004D3812" w:rsidRDefault="004D3812" w:rsidP="005B2A1C">
      <w:pPr>
        <w:pStyle w:val="38"/>
        <w:spacing w:line="276" w:lineRule="auto"/>
        <w:ind w:firstLine="709"/>
        <w:jc w:val="both"/>
        <w:rPr>
          <w:rFonts w:ascii="Times New Roman" w:hAnsi="Times New Roman" w:cs="Times New Roman"/>
          <w:sz w:val="24"/>
          <w:szCs w:val="24"/>
        </w:rPr>
      </w:pPr>
      <w:r w:rsidRPr="004D3812">
        <w:rPr>
          <w:rFonts w:ascii="Times New Roman" w:hAnsi="Times New Roman" w:cs="Times New Roman"/>
          <w:sz w:val="24"/>
          <w:szCs w:val="24"/>
        </w:rPr>
        <w:t xml:space="preserve">Объем отгруженной продукции в автомобилестроении в 1 полугодии 2017 года вырос на 14,3 % к уровню 1 полугодия 2016 года до 127 066,3 млн. руб. </w:t>
      </w:r>
    </w:p>
    <w:p w:rsidR="004D3812" w:rsidRDefault="004D3812" w:rsidP="005B2A1C">
      <w:pPr>
        <w:pStyle w:val="38"/>
        <w:spacing w:line="276" w:lineRule="auto"/>
        <w:ind w:right="-1" w:firstLine="709"/>
        <w:jc w:val="both"/>
        <w:rPr>
          <w:rFonts w:ascii="Times New Roman" w:hAnsi="Times New Roman" w:cs="Times New Roman"/>
          <w:color w:val="1A1A1A"/>
          <w:sz w:val="24"/>
          <w:szCs w:val="24"/>
          <w:shd w:val="clear" w:color="auto" w:fill="FFFFFF"/>
        </w:rPr>
      </w:pPr>
      <w:r w:rsidRPr="004D3812">
        <w:rPr>
          <w:rFonts w:ascii="Times New Roman" w:hAnsi="Times New Roman" w:cs="Times New Roman"/>
          <w:color w:val="1A1A1A"/>
          <w:sz w:val="24"/>
          <w:szCs w:val="24"/>
          <w:shd w:val="clear" w:color="auto" w:fill="FFFFFF"/>
        </w:rPr>
        <w:t>В 1 полугодии 2017 года доля Lada на российском рынке легковых автомобилей составила 19,5 % против 18,5 % января-июня 2016 года. Это в значительной степени связано с растущими объемами продаж новых моделей – L</w:t>
      </w:r>
      <w:r w:rsidRPr="004D3812">
        <w:rPr>
          <w:rFonts w:ascii="Times New Roman" w:hAnsi="Times New Roman" w:cs="Times New Roman"/>
          <w:color w:val="1A1A1A"/>
          <w:sz w:val="24"/>
          <w:szCs w:val="24"/>
          <w:shd w:val="clear" w:color="auto" w:fill="FFFFFF"/>
          <w:lang w:val="en-US"/>
        </w:rPr>
        <w:t>ada</w:t>
      </w:r>
      <w:r w:rsidRPr="004D3812">
        <w:rPr>
          <w:rFonts w:ascii="Times New Roman" w:hAnsi="Times New Roman" w:cs="Times New Roman"/>
          <w:color w:val="1A1A1A"/>
          <w:sz w:val="24"/>
          <w:szCs w:val="24"/>
          <w:shd w:val="clear" w:color="auto" w:fill="FFFFFF"/>
        </w:rPr>
        <w:t xml:space="preserve"> Vesta и L</w:t>
      </w:r>
      <w:r w:rsidRPr="004D3812">
        <w:rPr>
          <w:rFonts w:ascii="Times New Roman" w:hAnsi="Times New Roman" w:cs="Times New Roman"/>
          <w:color w:val="1A1A1A"/>
          <w:sz w:val="24"/>
          <w:szCs w:val="24"/>
          <w:shd w:val="clear" w:color="auto" w:fill="FFFFFF"/>
          <w:lang w:val="en-US"/>
        </w:rPr>
        <w:t>ada</w:t>
      </w:r>
      <w:r w:rsidRPr="004D3812">
        <w:rPr>
          <w:rFonts w:ascii="Times New Roman" w:hAnsi="Times New Roman" w:cs="Times New Roman"/>
          <w:color w:val="1A1A1A"/>
          <w:sz w:val="24"/>
          <w:szCs w:val="24"/>
          <w:shd w:val="clear" w:color="auto" w:fill="FFFFFF"/>
        </w:rPr>
        <w:t xml:space="preserve"> XRAY, в</w:t>
      </w:r>
      <w:r w:rsidRPr="00CF18D0">
        <w:rPr>
          <w:rFonts w:ascii="Times New Roman" w:hAnsi="Times New Roman" w:cs="Times New Roman"/>
          <w:color w:val="1A1A1A"/>
          <w:sz w:val="24"/>
          <w:szCs w:val="24"/>
          <w:shd w:val="clear" w:color="auto" w:fill="FFFFFF"/>
        </w:rPr>
        <w:t xml:space="preserve"> том числе благодаря расширению их модельного ряда (новые версии, новые комплектации). Пять автомобилей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вошли в TOП-20 самых продаваемых моделей: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Granta (2 место),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Vesta (3 место),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XRAY (9 место),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Largus (14 место), и L</w:t>
      </w:r>
      <w:r w:rsidRPr="00CF18D0">
        <w:rPr>
          <w:rFonts w:ascii="Times New Roman" w:hAnsi="Times New Roman" w:cs="Times New Roman"/>
          <w:color w:val="1A1A1A"/>
          <w:sz w:val="24"/>
          <w:szCs w:val="24"/>
          <w:shd w:val="clear" w:color="auto" w:fill="FFFFFF"/>
          <w:lang w:val="en-US"/>
        </w:rPr>
        <w:t>ada</w:t>
      </w:r>
      <w:r w:rsidRPr="00CF18D0">
        <w:rPr>
          <w:rFonts w:ascii="Times New Roman" w:hAnsi="Times New Roman" w:cs="Times New Roman"/>
          <w:color w:val="1A1A1A"/>
          <w:sz w:val="24"/>
          <w:szCs w:val="24"/>
          <w:shd w:val="clear" w:color="auto" w:fill="FFFFFF"/>
        </w:rPr>
        <w:t xml:space="preserve"> 4x4 (17 </w:t>
      </w:r>
      <w:r w:rsidRPr="004D3812">
        <w:rPr>
          <w:rFonts w:ascii="Times New Roman" w:hAnsi="Times New Roman" w:cs="Times New Roman"/>
          <w:color w:val="1A1A1A"/>
          <w:sz w:val="24"/>
          <w:szCs w:val="24"/>
          <w:shd w:val="clear" w:color="auto" w:fill="FFFFFF"/>
        </w:rPr>
        <w:t xml:space="preserve">место). </w:t>
      </w:r>
      <w:r w:rsidRPr="004D3812">
        <w:rPr>
          <w:rStyle w:val="affc"/>
          <w:rFonts w:ascii="Times New Roman" w:hAnsi="Times New Roman"/>
          <w:color w:val="1A1A1A"/>
          <w:sz w:val="24"/>
          <w:szCs w:val="24"/>
          <w:shd w:val="clear" w:color="auto" w:fill="FFFFFF"/>
        </w:rPr>
        <w:footnoteReference w:id="1"/>
      </w:r>
    </w:p>
    <w:p w:rsidR="004D3812" w:rsidRDefault="004D3812" w:rsidP="005B2A1C">
      <w:pPr>
        <w:pStyle w:val="38"/>
        <w:spacing w:line="276" w:lineRule="auto"/>
        <w:ind w:right="-1" w:firstLine="709"/>
        <w:jc w:val="both"/>
        <w:rPr>
          <w:rFonts w:ascii="Times New Roman" w:hAnsi="Times New Roman" w:cs="Times New Roman"/>
          <w:color w:val="1A1A1A"/>
          <w:sz w:val="24"/>
          <w:szCs w:val="24"/>
          <w:shd w:val="clear" w:color="auto" w:fill="FFFFFF"/>
        </w:rPr>
      </w:pPr>
      <w:r w:rsidRPr="00CF18D0">
        <w:rPr>
          <w:rFonts w:ascii="Times New Roman" w:hAnsi="Times New Roman" w:cs="Times New Roman"/>
          <w:sz w:val="24"/>
          <w:szCs w:val="24"/>
        </w:rPr>
        <w:t xml:space="preserve">Экспорт ПАО «АВТОВАЗ» за первое полугодие вырос на 76,6 % (в страны Евросоюза на 37,3 %, а в Германию – почти вдвое). Это обеспечивает дополнительную загрузку производственных </w:t>
      </w:r>
      <w:r w:rsidRPr="004D3812">
        <w:rPr>
          <w:rFonts w:ascii="Times New Roman" w:hAnsi="Times New Roman" w:cs="Times New Roman"/>
          <w:sz w:val="24"/>
          <w:szCs w:val="24"/>
        </w:rPr>
        <w:t xml:space="preserve">мощностей. </w:t>
      </w:r>
      <w:r w:rsidRPr="004D3812">
        <w:rPr>
          <w:rStyle w:val="affc"/>
          <w:rFonts w:ascii="Times New Roman" w:hAnsi="Times New Roman"/>
          <w:sz w:val="24"/>
          <w:szCs w:val="24"/>
        </w:rPr>
        <w:footnoteReference w:id="2"/>
      </w:r>
      <w:r w:rsidRPr="004D3812">
        <w:rPr>
          <w:rFonts w:ascii="Times New Roman" w:hAnsi="Times New Roman" w:cs="Times New Roman"/>
          <w:color w:val="1A1A1A"/>
          <w:sz w:val="24"/>
          <w:szCs w:val="24"/>
          <w:shd w:val="clear" w:color="auto" w:fill="FFFFFF"/>
        </w:rPr>
        <w:t xml:space="preserve"> </w:t>
      </w:r>
    </w:p>
    <w:p w:rsidR="004D3812" w:rsidRPr="00CF18D0" w:rsidRDefault="004D3812" w:rsidP="005B2A1C">
      <w:pPr>
        <w:pStyle w:val="aff1"/>
        <w:spacing w:line="276" w:lineRule="auto"/>
        <w:ind w:firstLine="720"/>
        <w:rPr>
          <w:sz w:val="24"/>
          <w:szCs w:val="24"/>
        </w:rPr>
      </w:pPr>
      <w:r w:rsidRPr="00CF18D0">
        <w:rPr>
          <w:color w:val="000000"/>
          <w:sz w:val="24"/>
          <w:szCs w:val="24"/>
        </w:rPr>
        <w:t xml:space="preserve">На совместном предприятии </w:t>
      </w:r>
      <w:r w:rsidRPr="00CF18D0">
        <w:rPr>
          <w:sz w:val="24"/>
          <w:szCs w:val="24"/>
        </w:rPr>
        <w:t>ЗАО «GM-АВТОВАЗ» в</w:t>
      </w:r>
      <w:r w:rsidRPr="00CF18D0">
        <w:rPr>
          <w:color w:val="000000"/>
          <w:sz w:val="24"/>
          <w:szCs w:val="24"/>
        </w:rPr>
        <w:t xml:space="preserve"> 1 полугодии 201</w:t>
      </w:r>
      <w:r>
        <w:rPr>
          <w:color w:val="000000"/>
          <w:sz w:val="24"/>
          <w:szCs w:val="24"/>
        </w:rPr>
        <w:t>7</w:t>
      </w:r>
      <w:r w:rsidRPr="00CF18D0">
        <w:rPr>
          <w:color w:val="000000"/>
          <w:sz w:val="24"/>
          <w:szCs w:val="24"/>
        </w:rPr>
        <w:t xml:space="preserve"> года наблюдалось снижение производства Chevrolet Niva </w:t>
      </w:r>
      <w:r w:rsidR="005B2A1C">
        <w:rPr>
          <w:color w:val="000000"/>
          <w:sz w:val="24"/>
          <w:szCs w:val="24"/>
        </w:rPr>
        <w:t>более</w:t>
      </w:r>
      <w:r>
        <w:rPr>
          <w:color w:val="000000"/>
          <w:sz w:val="24"/>
          <w:szCs w:val="24"/>
        </w:rPr>
        <w:t xml:space="preserve"> чем </w:t>
      </w:r>
      <w:r w:rsidRPr="00CF18D0">
        <w:rPr>
          <w:color w:val="000000"/>
          <w:sz w:val="24"/>
          <w:szCs w:val="24"/>
        </w:rPr>
        <w:t>на 1</w:t>
      </w:r>
      <w:r w:rsidR="00756B07">
        <w:rPr>
          <w:color w:val="000000"/>
          <w:sz w:val="24"/>
          <w:szCs w:val="24"/>
        </w:rPr>
        <w:t>0</w:t>
      </w:r>
      <w:r w:rsidRPr="00CF18D0">
        <w:rPr>
          <w:color w:val="000000"/>
          <w:sz w:val="24"/>
          <w:szCs w:val="24"/>
        </w:rPr>
        <w:t xml:space="preserve"> %.</w:t>
      </w:r>
    </w:p>
    <w:p w:rsidR="004D3812" w:rsidRPr="00CF18D0" w:rsidRDefault="004D3812" w:rsidP="005B2A1C">
      <w:pPr>
        <w:pStyle w:val="aff1"/>
        <w:spacing w:line="276" w:lineRule="auto"/>
        <w:ind w:firstLine="720"/>
        <w:rPr>
          <w:sz w:val="24"/>
          <w:szCs w:val="24"/>
        </w:rPr>
      </w:pPr>
      <w:r w:rsidRPr="00CF18D0">
        <w:rPr>
          <w:sz w:val="24"/>
          <w:szCs w:val="24"/>
        </w:rPr>
        <w:t xml:space="preserve">Помимо ПАО «АВТОВАЗ» и ЗАО «GM-АВТОВАЗ» в автомобилестроительный кластер входит значительное число организаций городского округа Тольятти, производящих автомобильную продукцию, а также оказывающих услуги. Производство комплектующих и принадлежностей для автотранспортных средств  в 1 полугодии 2017 года увеличилось к аналогичному периоду прошлого года на 20,4 %. </w:t>
      </w:r>
    </w:p>
    <w:p w:rsidR="004D3812" w:rsidRPr="00CF18D0" w:rsidRDefault="004D3812" w:rsidP="005B2A1C">
      <w:pPr>
        <w:pStyle w:val="46"/>
        <w:spacing w:line="276" w:lineRule="auto"/>
        <w:ind w:right="-1" w:firstLine="709"/>
        <w:jc w:val="both"/>
        <w:rPr>
          <w:rFonts w:ascii="Times New Roman" w:hAnsi="Times New Roman"/>
          <w:sz w:val="24"/>
          <w:szCs w:val="24"/>
          <w:lang w:eastAsia="zh-CN"/>
        </w:rPr>
      </w:pPr>
      <w:r w:rsidRPr="00CF18D0">
        <w:rPr>
          <w:rFonts w:ascii="Times New Roman" w:hAnsi="Times New Roman"/>
          <w:sz w:val="24"/>
          <w:szCs w:val="24"/>
          <w:lang w:eastAsia="zh-CN"/>
        </w:rPr>
        <w:t xml:space="preserve">Также отмечена положительная динамика в следующих обрабатывающих производствах: обработка древесины (увеличение объемов отгрузки в 2,0 раза по сравнению с аналогичным периодом 2016 года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 xml:space="preserve">текстильных изделий (на 55,3 % по сравнению с аналогичным периодом 2016 года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 xml:space="preserve">готовых металлических изделий, кроме машин и оборудования (на 27,8 %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 xml:space="preserve">резиновых и пластмассовых изделий (на 21,9 % в действующих ценах), металлургическое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(на 14,4 % в действующих ценах),</w:t>
      </w:r>
      <w:r>
        <w:rPr>
          <w:rFonts w:ascii="Times New Roman" w:hAnsi="Times New Roman"/>
          <w:sz w:val="24"/>
          <w:szCs w:val="24"/>
          <w:lang w:eastAsia="zh-CN"/>
        </w:rPr>
        <w:t xml:space="preserve"> производство </w:t>
      </w:r>
      <w:r w:rsidRPr="00CF18D0">
        <w:rPr>
          <w:rFonts w:ascii="Times New Roman" w:hAnsi="Times New Roman"/>
          <w:sz w:val="24"/>
          <w:szCs w:val="24"/>
          <w:lang w:eastAsia="zh-CN"/>
        </w:rPr>
        <w:t xml:space="preserve">электрического оборудования (на 12,4 %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 xml:space="preserve">одежды (на 11,7 %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 xml:space="preserve">пищевых продуктов (на 7,0 % в действующих ценах), </w:t>
      </w:r>
      <w:r>
        <w:rPr>
          <w:rFonts w:ascii="Times New Roman" w:hAnsi="Times New Roman"/>
          <w:sz w:val="24"/>
          <w:szCs w:val="24"/>
          <w:lang w:eastAsia="zh-CN"/>
        </w:rPr>
        <w:t xml:space="preserve">производство </w:t>
      </w:r>
      <w:r w:rsidRPr="00CF18D0">
        <w:rPr>
          <w:rFonts w:ascii="Times New Roman" w:hAnsi="Times New Roman"/>
          <w:sz w:val="24"/>
          <w:szCs w:val="24"/>
          <w:lang w:eastAsia="zh-CN"/>
        </w:rPr>
        <w:t>прочей неметаллической минеральной продукции (на 0,7 % в действующих ценах), производство напитков (на 4,4 % в действующих ценах).</w:t>
      </w:r>
    </w:p>
    <w:p w:rsidR="004D3812" w:rsidRPr="00CF18D0" w:rsidRDefault="004D3812" w:rsidP="005B2A1C">
      <w:pPr>
        <w:pStyle w:val="46"/>
        <w:spacing w:line="276" w:lineRule="auto"/>
        <w:ind w:right="-1" w:firstLine="709"/>
        <w:jc w:val="both"/>
        <w:rPr>
          <w:rFonts w:ascii="Times New Roman" w:hAnsi="Times New Roman"/>
          <w:sz w:val="24"/>
          <w:szCs w:val="24"/>
          <w:lang w:eastAsia="zh-CN"/>
        </w:rPr>
      </w:pPr>
      <w:r w:rsidRPr="00CF18D0">
        <w:rPr>
          <w:rFonts w:ascii="Times New Roman" w:hAnsi="Times New Roman"/>
          <w:sz w:val="24"/>
          <w:szCs w:val="24"/>
          <w:lang w:eastAsia="zh-CN"/>
        </w:rPr>
        <w:t xml:space="preserve">Кроме того, отмечен рост объемов отгруженной продукции в обеспечении электрической энергией, газом и паром; кондиционировании воздуха - на 1,3 % до 11 972,1 млн. руб., в водоснабжении; водоотведении, организации сбора и утилизации отходов, деятельности по ликвидации загрязнений - на 20,5 % до 4 132,2 млн. руб. </w:t>
      </w:r>
    </w:p>
    <w:p w:rsidR="004D3812" w:rsidRPr="00CF18D0" w:rsidRDefault="004D3812" w:rsidP="005B2A1C">
      <w:pPr>
        <w:pStyle w:val="46"/>
        <w:spacing w:line="276" w:lineRule="auto"/>
        <w:ind w:right="-1" w:firstLine="709"/>
        <w:jc w:val="both"/>
        <w:rPr>
          <w:rFonts w:ascii="Times New Roman" w:hAnsi="Times New Roman"/>
          <w:sz w:val="24"/>
          <w:szCs w:val="24"/>
          <w:lang w:eastAsia="zh-CN"/>
        </w:rPr>
      </w:pPr>
      <w:r w:rsidRPr="00CF18D0">
        <w:rPr>
          <w:rFonts w:ascii="Times New Roman" w:hAnsi="Times New Roman"/>
          <w:sz w:val="24"/>
          <w:szCs w:val="24"/>
          <w:lang w:eastAsia="zh-CN"/>
        </w:rPr>
        <w:t xml:space="preserve">Сдерживающее влияние на развитие промышленного комплекса оказывает отрицательная динамика </w:t>
      </w:r>
      <w:r>
        <w:rPr>
          <w:rFonts w:ascii="Times New Roman" w:hAnsi="Times New Roman"/>
          <w:sz w:val="24"/>
          <w:szCs w:val="24"/>
          <w:lang w:eastAsia="zh-CN"/>
        </w:rPr>
        <w:t>объе</w:t>
      </w:r>
      <w:r w:rsidR="005B2A1C">
        <w:rPr>
          <w:rFonts w:ascii="Times New Roman" w:hAnsi="Times New Roman"/>
          <w:sz w:val="24"/>
          <w:szCs w:val="24"/>
          <w:lang w:eastAsia="zh-CN"/>
        </w:rPr>
        <w:t>мов</w:t>
      </w:r>
      <w:r>
        <w:rPr>
          <w:rFonts w:ascii="Times New Roman" w:hAnsi="Times New Roman"/>
          <w:sz w:val="24"/>
          <w:szCs w:val="24"/>
          <w:lang w:eastAsia="zh-CN"/>
        </w:rPr>
        <w:t xml:space="preserve"> реализации</w:t>
      </w:r>
      <w:r w:rsidRPr="00CF18D0">
        <w:rPr>
          <w:rFonts w:ascii="Times New Roman" w:hAnsi="Times New Roman"/>
          <w:sz w:val="24"/>
          <w:szCs w:val="24"/>
          <w:lang w:eastAsia="zh-CN"/>
        </w:rPr>
        <w:t xml:space="preserve"> продукции химических предприятий города, доля которых в общей отгрузке промышленных производств составила 24,7 %. Снижение объема в отрасли на 1,3 % в действующих ценах обусловлено ухудшением ценовой конъюнктуры, </w:t>
      </w:r>
      <w:r w:rsidRPr="00A9624F">
        <w:rPr>
          <w:rFonts w:ascii="Times New Roman" w:hAnsi="Times New Roman"/>
          <w:sz w:val="24"/>
          <w:szCs w:val="24"/>
          <w:lang w:eastAsia="zh-CN"/>
        </w:rPr>
        <w:t xml:space="preserve">перенасыщением </w:t>
      </w:r>
      <w:r>
        <w:rPr>
          <w:rFonts w:ascii="Times New Roman" w:hAnsi="Times New Roman"/>
          <w:sz w:val="24"/>
          <w:szCs w:val="24"/>
          <w:lang w:eastAsia="zh-CN"/>
        </w:rPr>
        <w:t>некоторых видов химической продукции</w:t>
      </w:r>
      <w:r w:rsidRPr="00A9624F">
        <w:rPr>
          <w:rFonts w:ascii="Times New Roman" w:hAnsi="Times New Roman"/>
          <w:sz w:val="24"/>
          <w:szCs w:val="24"/>
          <w:lang w:eastAsia="zh-CN"/>
        </w:rPr>
        <w:t xml:space="preserve"> на мировом рынке</w:t>
      </w:r>
      <w:r>
        <w:rPr>
          <w:rFonts w:ascii="Times New Roman" w:hAnsi="Times New Roman"/>
          <w:sz w:val="24"/>
          <w:szCs w:val="24"/>
          <w:lang w:eastAsia="zh-CN"/>
        </w:rPr>
        <w:t>, а также</w:t>
      </w:r>
      <w:r w:rsidRPr="00CF18D0">
        <w:rPr>
          <w:rFonts w:ascii="Times New Roman" w:hAnsi="Times New Roman"/>
          <w:sz w:val="24"/>
          <w:szCs w:val="24"/>
          <w:lang w:eastAsia="zh-CN"/>
        </w:rPr>
        <w:t xml:space="preserve"> приостановкой ЗАО «Корпорация «Тольяттиазот» в январе – феврале транспортировки аммиака по аммиакопроводу, пролегающему по территории Украины. По итогам 1 полугодия наблюдался спад производства азота (на 95,4 %), аммиака </w:t>
      </w:r>
      <w:r w:rsidR="00756B07">
        <w:rPr>
          <w:rFonts w:ascii="Times New Roman" w:hAnsi="Times New Roman"/>
          <w:sz w:val="24"/>
          <w:szCs w:val="24"/>
          <w:lang w:eastAsia="zh-CN"/>
        </w:rPr>
        <w:t xml:space="preserve">                   </w:t>
      </w:r>
      <w:r w:rsidRPr="00CF18D0">
        <w:rPr>
          <w:rFonts w:ascii="Times New Roman" w:hAnsi="Times New Roman"/>
          <w:sz w:val="24"/>
          <w:szCs w:val="24"/>
          <w:lang w:eastAsia="zh-CN"/>
        </w:rPr>
        <w:t>(на 6,2 %), выпуск минеральных удобрений незначительно увеличился (на 3,8 %).</w:t>
      </w:r>
    </w:p>
    <w:p w:rsidR="004D3812" w:rsidRPr="00CF18D0" w:rsidRDefault="004D3812" w:rsidP="005B2A1C">
      <w:pPr>
        <w:pStyle w:val="46"/>
        <w:spacing w:line="276" w:lineRule="auto"/>
        <w:ind w:right="-1" w:firstLine="709"/>
        <w:jc w:val="both"/>
        <w:rPr>
          <w:rFonts w:ascii="Times New Roman" w:hAnsi="Times New Roman"/>
          <w:sz w:val="24"/>
          <w:szCs w:val="24"/>
        </w:rPr>
      </w:pPr>
      <w:r w:rsidRPr="00CF18D0">
        <w:rPr>
          <w:rFonts w:ascii="Times New Roman" w:hAnsi="Times New Roman"/>
          <w:sz w:val="24"/>
          <w:szCs w:val="24"/>
          <w:shd w:val="clear" w:color="auto" w:fill="FFFFFF"/>
        </w:rPr>
        <w:t>Кроме того, с</w:t>
      </w:r>
      <w:r w:rsidRPr="00CF18D0">
        <w:rPr>
          <w:rFonts w:ascii="Times New Roman" w:hAnsi="Times New Roman"/>
          <w:sz w:val="24"/>
          <w:szCs w:val="24"/>
        </w:rPr>
        <w:t xml:space="preserve">нижение объемов отгруженной промышленной продукции в отчетном периоде демонстрировали </w:t>
      </w:r>
      <w:r w:rsidR="005B2A1C">
        <w:rPr>
          <w:rFonts w:ascii="Times New Roman" w:hAnsi="Times New Roman"/>
          <w:sz w:val="24"/>
          <w:szCs w:val="24"/>
        </w:rPr>
        <w:t xml:space="preserve">следующие </w:t>
      </w:r>
      <w:r w:rsidRPr="00CF18D0">
        <w:rPr>
          <w:rFonts w:ascii="Times New Roman" w:hAnsi="Times New Roman"/>
          <w:sz w:val="24"/>
          <w:szCs w:val="24"/>
        </w:rPr>
        <w:t xml:space="preserve">виды экономической деятельности: </w:t>
      </w:r>
      <w:r w:rsidRPr="00CF18D0">
        <w:rPr>
          <w:rFonts w:ascii="Times New Roman" w:hAnsi="Times New Roman"/>
          <w:sz w:val="24"/>
          <w:szCs w:val="24"/>
          <w:shd w:val="clear" w:color="auto" w:fill="FFFFFF"/>
        </w:rPr>
        <w:t xml:space="preserve"> ремонт и монтаж машин и оборудования </w:t>
      </w:r>
      <w:r w:rsidRPr="00CF18D0">
        <w:rPr>
          <w:rFonts w:ascii="Times New Roman" w:hAnsi="Times New Roman"/>
          <w:sz w:val="24"/>
          <w:szCs w:val="24"/>
        </w:rPr>
        <w:t xml:space="preserve">(на 56,4 % по сравнению с аналогичным периодом 2016 года в действующих ценах), деятельность полиграфическая и копирование носителей информации (на 26,1 % в действующих ценах), производство машин и оборудования, не включенных в другие группировки (на 16,6 % в действующих ценах). </w:t>
      </w:r>
    </w:p>
    <w:p w:rsidR="00536336" w:rsidRDefault="004D3812" w:rsidP="005B2A1C">
      <w:pPr>
        <w:pStyle w:val="38"/>
        <w:spacing w:line="276" w:lineRule="auto"/>
        <w:ind w:right="-1" w:firstLine="709"/>
        <w:jc w:val="both"/>
        <w:rPr>
          <w:rFonts w:ascii="Times New Roman" w:hAnsi="Times New Roman" w:cs="Times New Roman"/>
          <w:sz w:val="24"/>
          <w:szCs w:val="24"/>
        </w:rPr>
      </w:pPr>
      <w:r w:rsidRPr="00CF18D0">
        <w:rPr>
          <w:rFonts w:ascii="Times New Roman" w:hAnsi="Times New Roman" w:cs="Times New Roman"/>
          <w:sz w:val="24"/>
          <w:szCs w:val="24"/>
        </w:rPr>
        <w:t xml:space="preserve">Во втором полугодии 2017 года в промышленном комплексе городского округа Тольятти также отмечается положительная динамика развития. Так, в июле текущего года объемы отгрузки выросли на 5,8 % относительно июля 2016 года, в августе – на 14,4 % относительно августа 2016 года. </w:t>
      </w:r>
    </w:p>
    <w:p w:rsidR="004D3812" w:rsidRPr="00CF18D0" w:rsidRDefault="004D3812" w:rsidP="005B2A1C">
      <w:pPr>
        <w:pStyle w:val="38"/>
        <w:spacing w:line="276" w:lineRule="auto"/>
        <w:ind w:right="-1" w:firstLine="709"/>
        <w:jc w:val="both"/>
        <w:rPr>
          <w:rFonts w:ascii="Times New Roman" w:hAnsi="Times New Roman" w:cs="Times New Roman"/>
          <w:sz w:val="24"/>
          <w:szCs w:val="24"/>
        </w:rPr>
      </w:pPr>
      <w:r w:rsidRPr="00CF18D0">
        <w:rPr>
          <w:rFonts w:ascii="Times New Roman" w:hAnsi="Times New Roman" w:cs="Times New Roman"/>
          <w:color w:val="1A1A1A"/>
          <w:sz w:val="24"/>
          <w:szCs w:val="24"/>
          <w:shd w:val="clear" w:color="auto" w:fill="FFFFFF"/>
        </w:rPr>
        <w:t>Несмотря на о</w:t>
      </w:r>
      <w:r w:rsidRPr="00CF18D0">
        <w:rPr>
          <w:rFonts w:ascii="Times New Roman" w:hAnsi="Times New Roman" w:cs="Times New Roman"/>
          <w:sz w:val="24"/>
          <w:szCs w:val="24"/>
        </w:rPr>
        <w:t xml:space="preserve">становки производства на ПАО «АВТОВАЗ» и ЗАО «GM-АВТОВАЗ» на время  </w:t>
      </w:r>
      <w:r>
        <w:rPr>
          <w:rFonts w:ascii="Times New Roman" w:hAnsi="Times New Roman" w:cs="Times New Roman"/>
          <w:sz w:val="24"/>
          <w:szCs w:val="24"/>
        </w:rPr>
        <w:t>ежегодного</w:t>
      </w:r>
      <w:r w:rsidRPr="00CF18D0">
        <w:rPr>
          <w:rFonts w:ascii="Times New Roman" w:hAnsi="Times New Roman" w:cs="Times New Roman"/>
          <w:sz w:val="24"/>
          <w:szCs w:val="24"/>
        </w:rPr>
        <w:t xml:space="preserve"> корпоративного отпуска </w:t>
      </w:r>
      <w:r>
        <w:rPr>
          <w:rFonts w:ascii="Times New Roman" w:hAnsi="Times New Roman" w:cs="Times New Roman"/>
          <w:sz w:val="24"/>
          <w:szCs w:val="24"/>
        </w:rPr>
        <w:t>(</w:t>
      </w:r>
      <w:r w:rsidRPr="00CF18D0">
        <w:rPr>
          <w:rFonts w:ascii="Times New Roman" w:hAnsi="Times New Roman" w:cs="Times New Roman"/>
          <w:sz w:val="24"/>
          <w:szCs w:val="24"/>
        </w:rPr>
        <w:t>в период с 24 июля по 13</w:t>
      </w:r>
      <w:r w:rsidR="0004675F">
        <w:rPr>
          <w:rFonts w:ascii="Times New Roman" w:hAnsi="Times New Roman" w:cs="Times New Roman"/>
          <w:sz w:val="24"/>
          <w:szCs w:val="24"/>
        </w:rPr>
        <w:t xml:space="preserve"> </w:t>
      </w:r>
      <w:r w:rsidRPr="00CF18D0">
        <w:rPr>
          <w:rFonts w:ascii="Times New Roman" w:hAnsi="Times New Roman" w:cs="Times New Roman"/>
          <w:sz w:val="24"/>
          <w:szCs w:val="24"/>
        </w:rPr>
        <w:t>августа 2017 года</w:t>
      </w:r>
      <w:r>
        <w:rPr>
          <w:rFonts w:ascii="Times New Roman" w:hAnsi="Times New Roman" w:cs="Times New Roman"/>
          <w:sz w:val="24"/>
          <w:szCs w:val="24"/>
        </w:rPr>
        <w:t>)</w:t>
      </w:r>
      <w:r w:rsidRPr="00CF18D0">
        <w:rPr>
          <w:rFonts w:ascii="Times New Roman" w:hAnsi="Times New Roman" w:cs="Times New Roman"/>
          <w:sz w:val="24"/>
          <w:szCs w:val="24"/>
        </w:rPr>
        <w:t xml:space="preserve">, </w:t>
      </w:r>
      <w:r w:rsidRPr="00CF18D0">
        <w:rPr>
          <w:rFonts w:ascii="Times New Roman" w:hAnsi="Times New Roman" w:cs="Times New Roman"/>
          <w:color w:val="1A1A1A"/>
          <w:sz w:val="24"/>
          <w:szCs w:val="24"/>
          <w:shd w:val="clear" w:color="auto" w:fill="FFFFFF"/>
        </w:rPr>
        <w:t>объемы отгруженной продукции в автомобилестроении в июле 2017 года увеличены на 12,3 % относительно июля 2016 года, в августе – на 23,3 % относительно августа 2016 года.</w:t>
      </w:r>
      <w:r w:rsidRPr="00CF18D0">
        <w:rPr>
          <w:rFonts w:ascii="Times New Roman" w:hAnsi="Times New Roman" w:cs="Times New Roman"/>
          <w:sz w:val="24"/>
          <w:szCs w:val="24"/>
        </w:rPr>
        <w:t xml:space="preserve">  </w:t>
      </w:r>
    </w:p>
    <w:p w:rsidR="004D3812" w:rsidRPr="00CF18D0" w:rsidRDefault="004D3812" w:rsidP="005B2A1C">
      <w:pPr>
        <w:pStyle w:val="38"/>
        <w:spacing w:line="276" w:lineRule="auto"/>
        <w:ind w:right="-1" w:firstLine="709"/>
        <w:jc w:val="both"/>
        <w:rPr>
          <w:rFonts w:ascii="Times New Roman" w:hAnsi="Times New Roman" w:cs="Times New Roman"/>
          <w:color w:val="1A1A1A"/>
          <w:sz w:val="24"/>
          <w:szCs w:val="24"/>
          <w:shd w:val="clear" w:color="auto" w:fill="FFFFFF"/>
        </w:rPr>
      </w:pPr>
      <w:r w:rsidRPr="00CF18D0">
        <w:rPr>
          <w:rFonts w:ascii="Times New Roman" w:hAnsi="Times New Roman" w:cs="Times New Roman"/>
          <w:color w:val="1A1A1A"/>
          <w:sz w:val="24"/>
          <w:szCs w:val="24"/>
          <w:shd w:val="clear" w:color="auto" w:fill="FFFFFF"/>
        </w:rPr>
        <w:t xml:space="preserve">С января 2017 года показатель «Индекс промышленного производства по городскому округу Тольятти», который является одним из ключевых показателей, характеризующих развитие промышленного сектора экономики, Территориальным органом Федеральной службы государственной статистики по Самарской области не рассчитывается. </w:t>
      </w:r>
    </w:p>
    <w:p w:rsidR="004D3812" w:rsidRPr="00CF18D0" w:rsidRDefault="004D3812" w:rsidP="005B2A1C">
      <w:pPr>
        <w:pStyle w:val="38"/>
        <w:spacing w:line="276" w:lineRule="auto"/>
        <w:ind w:firstLine="709"/>
        <w:jc w:val="both"/>
        <w:rPr>
          <w:rFonts w:ascii="Times New Roman" w:hAnsi="Times New Roman" w:cs="Times New Roman"/>
          <w:color w:val="1A1A1A"/>
          <w:sz w:val="24"/>
          <w:szCs w:val="24"/>
          <w:shd w:val="clear" w:color="auto" w:fill="FFFFFF"/>
        </w:rPr>
      </w:pPr>
      <w:r w:rsidRPr="00CF18D0">
        <w:rPr>
          <w:rFonts w:ascii="Times New Roman" w:hAnsi="Times New Roman" w:cs="Times New Roman"/>
          <w:color w:val="1A1A1A"/>
          <w:sz w:val="24"/>
          <w:szCs w:val="24"/>
          <w:shd w:val="clear" w:color="auto" w:fill="FFFFFF"/>
        </w:rPr>
        <w:t xml:space="preserve">Так же стоит отметить, что в связи с введением с 2017 года нового ОКВЭД </w:t>
      </w:r>
      <w:r>
        <w:rPr>
          <w:rFonts w:ascii="Times New Roman" w:hAnsi="Times New Roman" w:cs="Times New Roman"/>
          <w:color w:val="1A1A1A"/>
          <w:sz w:val="24"/>
          <w:szCs w:val="24"/>
          <w:shd w:val="clear" w:color="auto" w:fill="FFFFFF"/>
        </w:rPr>
        <w:t>(общероссийский классификатор видов экономической деятельности) сопоставление</w:t>
      </w:r>
      <w:r w:rsidRPr="00CF18D0">
        <w:rPr>
          <w:rFonts w:ascii="Times New Roman" w:hAnsi="Times New Roman" w:cs="Times New Roman"/>
          <w:color w:val="1A1A1A"/>
          <w:sz w:val="24"/>
          <w:szCs w:val="24"/>
          <w:shd w:val="clear" w:color="auto" w:fill="FFFFFF"/>
        </w:rPr>
        <w:t xml:space="preserve"> объемов отгруженной промышленной продукции в городском округе Тольятти </w:t>
      </w:r>
      <w:r>
        <w:rPr>
          <w:rFonts w:ascii="Times New Roman" w:hAnsi="Times New Roman" w:cs="Times New Roman"/>
          <w:color w:val="1A1A1A"/>
          <w:sz w:val="24"/>
          <w:szCs w:val="24"/>
          <w:shd w:val="clear" w:color="auto" w:fill="FFFFFF"/>
        </w:rPr>
        <w:t>за 2017 год с предыдущими периодами не представляется возможным</w:t>
      </w:r>
      <w:r w:rsidRPr="00CF18D0">
        <w:rPr>
          <w:rFonts w:ascii="Times New Roman" w:hAnsi="Times New Roman" w:cs="Times New Roman"/>
          <w:color w:val="1A1A1A"/>
          <w:sz w:val="24"/>
          <w:szCs w:val="24"/>
          <w:shd w:val="clear" w:color="auto" w:fill="FFFFFF"/>
        </w:rPr>
        <w:t>.</w:t>
      </w:r>
    </w:p>
    <w:p w:rsidR="004D3812" w:rsidRPr="00CF18D0" w:rsidRDefault="004D3812" w:rsidP="004D3812">
      <w:pPr>
        <w:pStyle w:val="Default"/>
        <w:spacing w:line="276" w:lineRule="auto"/>
        <w:ind w:firstLine="709"/>
        <w:jc w:val="both"/>
      </w:pPr>
      <w:r w:rsidRPr="00CF18D0">
        <w:t xml:space="preserve">В целом в промышленном комплексе городского округа ожидается сохранение позитивных тенденций до конца года. По итогам 2017 года </w:t>
      </w:r>
      <w:r w:rsidR="00945999">
        <w:t>вы</w:t>
      </w:r>
      <w:r w:rsidRPr="00CF18D0">
        <w:t>р</w:t>
      </w:r>
      <w:r w:rsidR="00945999">
        <w:t>астут</w:t>
      </w:r>
      <w:r w:rsidRPr="00CF18D0">
        <w:t xml:space="preserve"> объем</w:t>
      </w:r>
      <w:r w:rsidR="00945999">
        <w:t>ы</w:t>
      </w:r>
      <w:r w:rsidRPr="00CF18D0">
        <w:t xml:space="preserve"> реализации продукции в автомобилестроении к уровню 2016 года. Производство легковых автомобилей в городском округе Тольятти, по оценке, увеличится на 9,0 % к 2016 году до 329 тыс. штук (в 2016 году произведено 301,8 тыс. штук). Объем отгруженной продукции в производстве автотранспортных средств, прицепов и полуприцепов по итогам 2017 года составит 260 829,3 млн. руб.</w:t>
      </w:r>
    </w:p>
    <w:p w:rsidR="004D3812" w:rsidRPr="00CF18D0" w:rsidRDefault="004D3812" w:rsidP="004D3812">
      <w:pPr>
        <w:widowControl w:val="0"/>
        <w:spacing w:line="276" w:lineRule="auto"/>
        <w:ind w:firstLine="720"/>
        <w:jc w:val="both"/>
        <w:rPr>
          <w:sz w:val="24"/>
          <w:szCs w:val="24"/>
        </w:rPr>
      </w:pPr>
      <w:r w:rsidRPr="00CF18D0">
        <w:rPr>
          <w:bCs/>
          <w:sz w:val="24"/>
          <w:szCs w:val="24"/>
        </w:rPr>
        <w:t>В условиях сложившейся макроэкономической ситуации о</w:t>
      </w:r>
      <w:r w:rsidRPr="00CF18D0">
        <w:rPr>
          <w:sz w:val="24"/>
          <w:szCs w:val="24"/>
        </w:rPr>
        <w:t>бъем реализации химической продукции по городскому округу за 2017 год оценочно составит 100 449,4 млн. руб. (индекс производства – 96,2 %).</w:t>
      </w:r>
    </w:p>
    <w:p w:rsidR="004D3812" w:rsidRPr="00CF18D0" w:rsidRDefault="004D3812" w:rsidP="004D3812">
      <w:pPr>
        <w:widowControl w:val="0"/>
        <w:spacing w:line="276" w:lineRule="auto"/>
        <w:ind w:firstLine="720"/>
        <w:jc w:val="both"/>
        <w:rPr>
          <w:color w:val="1A1A1A"/>
          <w:sz w:val="24"/>
          <w:szCs w:val="24"/>
          <w:shd w:val="clear" w:color="auto" w:fill="FFFFFF"/>
        </w:rPr>
      </w:pPr>
      <w:r w:rsidRPr="00CF18D0">
        <w:rPr>
          <w:color w:val="1A1A1A"/>
          <w:sz w:val="24"/>
          <w:szCs w:val="24"/>
          <w:shd w:val="clear" w:color="auto" w:fill="FFFFFF"/>
        </w:rPr>
        <w:t>Позитивный вклад в динамику обрабатывающих производств в 2017 году по отношению к 2016 году также внесут:</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пищевых продуктов (индекс производства – 107,1 %).  Оценочно увеличится производство полуфабрикатов мясных (на 45,0 %), производство хлеба и хлебобулочных изделий сократится на 11,4 %. Объем отгруженной продукции – 11 316,4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напитков (индекс производства – 111,8 %). Объем отгруженной продукции – 847,7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текстильных изделий (индекс производства – 138,1 %). Объем отгруженной продукции – 1 737,7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резиновых и пластмассовых изделий  - (индекс производства – 106,7 %). Объем отгруженной продукции – 4 450,3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pacing w:val="-4"/>
          <w:sz w:val="24"/>
          <w:szCs w:val="24"/>
        </w:rPr>
        <w:t xml:space="preserve">- металлургическое производство </w:t>
      </w:r>
      <w:r w:rsidRPr="00CF18D0">
        <w:rPr>
          <w:rFonts w:ascii="Times New Roman" w:hAnsi="Times New Roman"/>
          <w:sz w:val="24"/>
          <w:szCs w:val="24"/>
        </w:rPr>
        <w:t xml:space="preserve">(индекс производства – 112,2 %). Объем отгруженной продукции – 1 907,3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готовых металлических изделий, кроме машин и оборудования (индекс производства – 117,9 %). Объем отгруженной продукции – 2 076,8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Падение объемов производства в 2017 году к 2016 году </w:t>
      </w:r>
      <w:r w:rsidR="00DD748D">
        <w:rPr>
          <w:rFonts w:ascii="Times New Roman" w:hAnsi="Times New Roman"/>
          <w:sz w:val="24"/>
          <w:szCs w:val="24"/>
        </w:rPr>
        <w:t>ожидается</w:t>
      </w:r>
      <w:r w:rsidRPr="00CF18D0">
        <w:rPr>
          <w:rFonts w:ascii="Times New Roman" w:hAnsi="Times New Roman"/>
          <w:sz w:val="24"/>
          <w:szCs w:val="24"/>
        </w:rPr>
        <w:t xml:space="preserve"> в следующих вид</w:t>
      </w:r>
      <w:r w:rsidR="00DD748D">
        <w:rPr>
          <w:rFonts w:ascii="Times New Roman" w:hAnsi="Times New Roman"/>
          <w:sz w:val="24"/>
          <w:szCs w:val="24"/>
        </w:rPr>
        <w:t>ах</w:t>
      </w:r>
      <w:r w:rsidRPr="00CF18D0">
        <w:rPr>
          <w:rFonts w:ascii="Times New Roman" w:hAnsi="Times New Roman"/>
          <w:sz w:val="24"/>
          <w:szCs w:val="24"/>
        </w:rPr>
        <w:t xml:space="preserve"> деятельности: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прочей неметаллической минеральной продукции (индекс производства – 84,5 %). Объем отгруженной продукции составит 1 059,6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xml:space="preserve">- производство машин и оборудования, не включенных в другие группировки (индекс производства – 81,9 %). Объем отгруженной продукции – 2 543,0 млн. руб.; </w:t>
      </w:r>
    </w:p>
    <w:p w:rsidR="004D3812" w:rsidRPr="00CF18D0" w:rsidRDefault="004D3812" w:rsidP="004D3812">
      <w:pPr>
        <w:pStyle w:val="53"/>
        <w:spacing w:line="276" w:lineRule="auto"/>
        <w:ind w:firstLine="709"/>
        <w:jc w:val="both"/>
        <w:rPr>
          <w:rFonts w:ascii="Times New Roman" w:hAnsi="Times New Roman"/>
          <w:sz w:val="24"/>
          <w:szCs w:val="24"/>
        </w:rPr>
      </w:pPr>
      <w:r w:rsidRPr="00CF18D0">
        <w:rPr>
          <w:rFonts w:ascii="Times New Roman" w:hAnsi="Times New Roman"/>
          <w:sz w:val="24"/>
          <w:szCs w:val="24"/>
        </w:rPr>
        <w:t>- ремонт и монтаж машин и оборудования (индекс производства – 37,1 %). Объем отгруженн</w:t>
      </w:r>
      <w:r w:rsidR="00DD748D">
        <w:rPr>
          <w:rFonts w:ascii="Times New Roman" w:hAnsi="Times New Roman"/>
          <w:sz w:val="24"/>
          <w:szCs w:val="24"/>
        </w:rPr>
        <w:t>ой продукции – 805,3 млн. руб.</w:t>
      </w:r>
    </w:p>
    <w:p w:rsidR="004D3812" w:rsidRPr="00CF18D0" w:rsidRDefault="004D3812" w:rsidP="004D3812">
      <w:pPr>
        <w:pStyle w:val="46"/>
        <w:spacing w:line="276" w:lineRule="auto"/>
        <w:ind w:firstLine="709"/>
        <w:jc w:val="both"/>
        <w:rPr>
          <w:rFonts w:ascii="Times New Roman" w:hAnsi="Times New Roman"/>
          <w:sz w:val="24"/>
          <w:szCs w:val="24"/>
        </w:rPr>
      </w:pPr>
      <w:r w:rsidRPr="00CF18D0">
        <w:rPr>
          <w:rFonts w:ascii="Times New Roman" w:hAnsi="Times New Roman"/>
          <w:color w:val="1A1A1A"/>
          <w:sz w:val="24"/>
          <w:szCs w:val="24"/>
          <w:shd w:val="clear" w:color="auto" w:fill="FFFFFF"/>
        </w:rPr>
        <w:t>В целом, по итогам 2017 года</w:t>
      </w:r>
      <w:r w:rsidR="00DD748D">
        <w:rPr>
          <w:rFonts w:ascii="Times New Roman" w:hAnsi="Times New Roman"/>
          <w:color w:val="1A1A1A"/>
          <w:sz w:val="24"/>
          <w:szCs w:val="24"/>
          <w:shd w:val="clear" w:color="auto" w:fill="FFFFFF"/>
        </w:rPr>
        <w:t>,</w:t>
      </w:r>
      <w:r w:rsidRPr="00CF18D0">
        <w:rPr>
          <w:rFonts w:ascii="Times New Roman" w:hAnsi="Times New Roman"/>
          <w:color w:val="1A1A1A"/>
          <w:sz w:val="24"/>
          <w:szCs w:val="24"/>
          <w:shd w:val="clear" w:color="auto" w:fill="FFFFFF"/>
        </w:rPr>
        <w:t xml:space="preserve"> индекс промышленного производства в городском округе Тольятти оценочно составит 105,2 %, в том числе по обрабатывающим производствам – 104,2 %</w:t>
      </w:r>
      <w:r w:rsidRPr="00CF18D0">
        <w:rPr>
          <w:rFonts w:ascii="Times New Roman" w:hAnsi="Times New Roman"/>
          <w:sz w:val="24"/>
          <w:szCs w:val="24"/>
          <w:lang w:eastAsia="zh-CN"/>
        </w:rPr>
        <w:t xml:space="preserve">, в обеспечении электрической энергией, газом и паром; кондиционировании воздуха – </w:t>
      </w:r>
      <w:r w:rsidRPr="00CF18D0">
        <w:rPr>
          <w:rFonts w:ascii="Times New Roman" w:hAnsi="Times New Roman"/>
          <w:sz w:val="24"/>
          <w:szCs w:val="24"/>
        </w:rPr>
        <w:t>94,6 %,</w:t>
      </w:r>
      <w:r w:rsidRPr="00CF18D0">
        <w:rPr>
          <w:rFonts w:ascii="Times New Roman" w:hAnsi="Times New Roman"/>
          <w:sz w:val="24"/>
          <w:szCs w:val="24"/>
          <w:lang w:eastAsia="zh-CN"/>
        </w:rPr>
        <w:t xml:space="preserve"> в водоснабжении; водоотведении, организации сбора и утилизации отходов, деятельности по ликвидации загрязнений – </w:t>
      </w:r>
      <w:r w:rsidRPr="00CF18D0">
        <w:rPr>
          <w:rFonts w:ascii="Times New Roman" w:hAnsi="Times New Roman"/>
          <w:sz w:val="24"/>
          <w:szCs w:val="24"/>
        </w:rPr>
        <w:t>107,1 %</w:t>
      </w:r>
    </w:p>
    <w:p w:rsidR="004D3812" w:rsidRPr="00CF18D0" w:rsidRDefault="004D3812" w:rsidP="004D3812">
      <w:pPr>
        <w:pStyle w:val="46"/>
        <w:spacing w:line="276" w:lineRule="auto"/>
        <w:ind w:firstLine="709"/>
        <w:jc w:val="both"/>
        <w:rPr>
          <w:rFonts w:ascii="Times New Roman" w:hAnsi="Times New Roman"/>
          <w:sz w:val="24"/>
          <w:szCs w:val="24"/>
        </w:rPr>
      </w:pPr>
      <w:r w:rsidRPr="00CF18D0">
        <w:rPr>
          <w:rFonts w:ascii="Times New Roman" w:hAnsi="Times New Roman"/>
          <w:color w:val="1A1A1A"/>
          <w:sz w:val="24"/>
          <w:szCs w:val="24"/>
          <w:shd w:val="clear" w:color="auto" w:fill="FFFFFF"/>
        </w:rPr>
        <w:t xml:space="preserve">При этом </w:t>
      </w:r>
      <w:r w:rsidRPr="00CF18D0">
        <w:rPr>
          <w:rFonts w:ascii="Times New Roman" w:hAnsi="Times New Roman"/>
          <w:sz w:val="24"/>
          <w:szCs w:val="24"/>
        </w:rPr>
        <w:t xml:space="preserve">объем отгруженных промышленных товаров собственного производства  предприятий, не относящихся к субъектам малого предпринимательства,  по оценке, составит 423 837,0 млн. руб., в том числе по обрабатывающим производствам – 392 854,5 млн. руб., </w:t>
      </w:r>
      <w:r w:rsidRPr="00CF18D0">
        <w:rPr>
          <w:rFonts w:ascii="Times New Roman" w:hAnsi="Times New Roman"/>
          <w:sz w:val="24"/>
          <w:szCs w:val="24"/>
          <w:lang w:eastAsia="zh-CN"/>
        </w:rPr>
        <w:t xml:space="preserve">в обеспечении электрической энергией, газом и паром; кондиционировании воздуха – </w:t>
      </w:r>
      <w:r w:rsidRPr="00CF18D0">
        <w:rPr>
          <w:rFonts w:ascii="Times New Roman" w:hAnsi="Times New Roman"/>
          <w:sz w:val="24"/>
          <w:szCs w:val="24"/>
        </w:rPr>
        <w:t>22 293,8 млн. руб.,</w:t>
      </w:r>
      <w:r w:rsidRPr="00CF18D0">
        <w:rPr>
          <w:rFonts w:ascii="Times New Roman" w:hAnsi="Times New Roman"/>
          <w:sz w:val="24"/>
          <w:szCs w:val="24"/>
          <w:lang w:eastAsia="zh-CN"/>
        </w:rPr>
        <w:t xml:space="preserve"> в водоснабжении; водоотведении, организации сбора и утилизации отходов, деятельности по ликвидации загрязнений – </w:t>
      </w:r>
      <w:r w:rsidRPr="00CF18D0">
        <w:rPr>
          <w:rFonts w:ascii="Times New Roman" w:hAnsi="Times New Roman"/>
          <w:sz w:val="24"/>
          <w:szCs w:val="24"/>
        </w:rPr>
        <w:t>8 688,7 млн. руб.</w:t>
      </w:r>
    </w:p>
    <w:p w:rsidR="004D3812" w:rsidRPr="00CF18D0" w:rsidRDefault="004D3812" w:rsidP="004D3812">
      <w:pPr>
        <w:widowControl w:val="0"/>
        <w:autoSpaceDE w:val="0"/>
        <w:spacing w:line="276" w:lineRule="auto"/>
        <w:ind w:firstLine="709"/>
        <w:jc w:val="both"/>
        <w:rPr>
          <w:sz w:val="24"/>
          <w:szCs w:val="24"/>
        </w:rPr>
      </w:pPr>
      <w:r w:rsidRPr="00CF18D0">
        <w:rPr>
          <w:sz w:val="24"/>
          <w:szCs w:val="24"/>
        </w:rPr>
        <w:t>Оценка 2017 года и прогноз на 2018-2020 годы показателей «Объем отгруженных товаров собственного производства, выполненных работ и услуг собственными силами по видам экономической деятельности (разделы C,D,Е)» и «Индекс производства по видам экономической деятельности (разделы C,D,E)</w:t>
      </w:r>
      <w:r w:rsidRPr="00CF18D0">
        <w:rPr>
          <w:color w:val="1A1A1A"/>
          <w:sz w:val="24"/>
          <w:szCs w:val="24"/>
          <w:shd w:val="clear" w:color="auto" w:fill="FFFFFF"/>
        </w:rPr>
        <w:t>» рассчитаны по видам деятельности на основе</w:t>
      </w:r>
      <w:r w:rsidR="00DD748D">
        <w:rPr>
          <w:color w:val="1A1A1A"/>
          <w:sz w:val="24"/>
          <w:szCs w:val="24"/>
          <w:shd w:val="clear" w:color="auto" w:fill="FFFFFF"/>
        </w:rPr>
        <w:t xml:space="preserve"> общероссийского классификатора видов экономической деятельности</w:t>
      </w:r>
      <w:r w:rsidRPr="00CF18D0">
        <w:rPr>
          <w:color w:val="1A1A1A"/>
          <w:sz w:val="24"/>
          <w:szCs w:val="24"/>
          <w:shd w:val="clear" w:color="auto" w:fill="FFFFFF"/>
        </w:rPr>
        <w:t xml:space="preserve"> </w:t>
      </w:r>
      <w:r w:rsidR="00DD748D">
        <w:rPr>
          <w:color w:val="1A1A1A"/>
          <w:sz w:val="24"/>
          <w:szCs w:val="24"/>
          <w:shd w:val="clear" w:color="auto" w:fill="FFFFFF"/>
        </w:rPr>
        <w:t>(</w:t>
      </w:r>
      <w:r w:rsidRPr="00CF18D0">
        <w:rPr>
          <w:color w:val="1A1A1A"/>
          <w:sz w:val="24"/>
          <w:szCs w:val="24"/>
          <w:shd w:val="clear" w:color="auto" w:fill="FFFFFF"/>
        </w:rPr>
        <w:t>ОКВЭД</w:t>
      </w:r>
      <w:r w:rsidR="00DD748D">
        <w:rPr>
          <w:color w:val="1A1A1A"/>
          <w:sz w:val="24"/>
          <w:szCs w:val="24"/>
          <w:shd w:val="clear" w:color="auto" w:fill="FFFFFF"/>
        </w:rPr>
        <w:t>)</w:t>
      </w:r>
      <w:r w:rsidRPr="00CF18D0">
        <w:rPr>
          <w:color w:val="1A1A1A"/>
          <w:sz w:val="24"/>
          <w:szCs w:val="24"/>
          <w:shd w:val="clear" w:color="auto" w:fill="FFFFFF"/>
        </w:rPr>
        <w:t xml:space="preserve">, введенного с 2017 года. Учитывая смену наименований и </w:t>
      </w:r>
      <w:r>
        <w:rPr>
          <w:sz w:val="24"/>
          <w:szCs w:val="24"/>
        </w:rPr>
        <w:t>содержания</w:t>
      </w:r>
      <w:r w:rsidRPr="00CF18D0">
        <w:rPr>
          <w:sz w:val="24"/>
          <w:szCs w:val="24"/>
        </w:rPr>
        <w:t xml:space="preserve"> видов промышленной деятельности</w:t>
      </w:r>
      <w:r>
        <w:rPr>
          <w:sz w:val="24"/>
          <w:szCs w:val="24"/>
        </w:rPr>
        <w:t xml:space="preserve"> в новом ОКВЭД</w:t>
      </w:r>
      <w:r w:rsidRPr="00CF18D0">
        <w:rPr>
          <w:sz w:val="24"/>
          <w:szCs w:val="24"/>
        </w:rPr>
        <w:t xml:space="preserve">, </w:t>
      </w:r>
      <w:r w:rsidRPr="00CF18D0">
        <w:rPr>
          <w:color w:val="1A1A1A"/>
          <w:sz w:val="24"/>
          <w:szCs w:val="24"/>
          <w:shd w:val="clear" w:color="auto" w:fill="FFFFFF"/>
        </w:rPr>
        <w:t>анализ выполнения данных прогнозных показателей невозможен.</w:t>
      </w:r>
    </w:p>
    <w:p w:rsidR="004D3812" w:rsidRPr="00CF18D0" w:rsidRDefault="004D3812" w:rsidP="004D3812">
      <w:pPr>
        <w:widowControl w:val="0"/>
        <w:autoSpaceDE w:val="0"/>
        <w:spacing w:line="276" w:lineRule="auto"/>
        <w:ind w:firstLine="709"/>
        <w:jc w:val="both"/>
        <w:rPr>
          <w:sz w:val="24"/>
          <w:szCs w:val="24"/>
        </w:rPr>
      </w:pPr>
    </w:p>
    <w:p w:rsidR="004D3812" w:rsidRPr="00CF18D0" w:rsidRDefault="004D3812" w:rsidP="004D3812">
      <w:pPr>
        <w:pStyle w:val="38"/>
        <w:spacing w:line="276" w:lineRule="auto"/>
        <w:ind w:right="-1"/>
        <w:jc w:val="center"/>
        <w:rPr>
          <w:rFonts w:ascii="Times New Roman" w:hAnsi="Times New Roman" w:cs="Times New Roman"/>
          <w:sz w:val="24"/>
          <w:szCs w:val="24"/>
        </w:rPr>
      </w:pPr>
      <w:r w:rsidRPr="00CF18D0">
        <w:rPr>
          <w:rFonts w:ascii="Times New Roman" w:hAnsi="Times New Roman" w:cs="Times New Roman"/>
          <w:sz w:val="24"/>
          <w:szCs w:val="24"/>
        </w:rPr>
        <w:t>Ожидаемое выполнение прогнозных показателей</w:t>
      </w:r>
    </w:p>
    <w:p w:rsidR="004D3812" w:rsidRPr="00CF18D0" w:rsidRDefault="004D3812" w:rsidP="004D3812">
      <w:pPr>
        <w:pStyle w:val="38"/>
        <w:spacing w:line="276" w:lineRule="auto"/>
        <w:ind w:right="-1"/>
        <w:jc w:val="center"/>
        <w:rPr>
          <w:rFonts w:ascii="Times New Roman" w:hAnsi="Times New Roman" w:cs="Times New Roman"/>
          <w:sz w:val="24"/>
          <w:szCs w:val="24"/>
        </w:rPr>
      </w:pPr>
      <w:r w:rsidRPr="00CF18D0">
        <w:rPr>
          <w:rFonts w:ascii="Times New Roman" w:hAnsi="Times New Roman" w:cs="Times New Roman"/>
          <w:sz w:val="24"/>
          <w:szCs w:val="24"/>
        </w:rPr>
        <w:t>по производству промышленной продукции в натуральном выражении  на 2017 год</w:t>
      </w:r>
    </w:p>
    <w:p w:rsidR="004D3812" w:rsidRPr="00CF18D0" w:rsidRDefault="004D3812" w:rsidP="004D3812">
      <w:pPr>
        <w:pStyle w:val="38"/>
        <w:spacing w:line="276" w:lineRule="auto"/>
        <w:ind w:right="-1"/>
        <w:jc w:val="center"/>
        <w:rPr>
          <w:rFonts w:ascii="Times New Roman" w:hAnsi="Times New Roman" w:cs="Times New Roman"/>
          <w:sz w:val="24"/>
          <w:szCs w:val="24"/>
        </w:rPr>
      </w:pPr>
    </w:p>
    <w:tbl>
      <w:tblPr>
        <w:tblW w:w="9520" w:type="dxa"/>
        <w:tblInd w:w="-7" w:type="dxa"/>
        <w:tblLayout w:type="fixed"/>
        <w:tblCellMar>
          <w:left w:w="15" w:type="dxa"/>
          <w:right w:w="15" w:type="dxa"/>
        </w:tblCellMar>
        <w:tblLook w:val="0000" w:firstRow="0" w:lastRow="0" w:firstColumn="0" w:lastColumn="0" w:noHBand="0" w:noVBand="0"/>
      </w:tblPr>
      <w:tblGrid>
        <w:gridCol w:w="3283"/>
        <w:gridCol w:w="1417"/>
        <w:gridCol w:w="1559"/>
        <w:gridCol w:w="1560"/>
        <w:gridCol w:w="1701"/>
      </w:tblGrid>
      <w:tr w:rsidR="004D3812" w:rsidRPr="00CF18D0" w:rsidTr="0005613F">
        <w:trPr>
          <w:trHeight w:val="416"/>
          <w:tblHeader/>
        </w:trPr>
        <w:tc>
          <w:tcPr>
            <w:tcW w:w="3283" w:type="dxa"/>
            <w:vMerge w:val="restart"/>
            <w:tcBorders>
              <w:top w:val="single" w:sz="4" w:space="0" w:color="000000"/>
              <w:left w:val="single" w:sz="4" w:space="0" w:color="000000"/>
              <w:bottom w:val="single" w:sz="4" w:space="0" w:color="000000"/>
            </w:tcBorders>
            <w:vAlign w:val="center"/>
          </w:tcPr>
          <w:p w:rsidR="004D3812" w:rsidRPr="00CF18D0" w:rsidRDefault="004D3812" w:rsidP="0005613F">
            <w:pPr>
              <w:snapToGrid w:val="0"/>
              <w:jc w:val="center"/>
              <w:rPr>
                <w:sz w:val="24"/>
                <w:szCs w:val="24"/>
              </w:rPr>
            </w:pPr>
            <w:r>
              <w:rPr>
                <w:noProof/>
                <w:sz w:val="24"/>
                <w:szCs w:val="24"/>
                <w:lang w:eastAsia="ru-RU"/>
              </w:rPr>
              <w:drawing>
                <wp:inline distT="0" distB="0" distL="0" distR="0">
                  <wp:extent cx="22860" cy="228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2860" cy="22860"/>
                          </a:xfrm>
                          <a:prstGeom prst="rect">
                            <a:avLst/>
                          </a:prstGeom>
                          <a:solidFill>
                            <a:srgbClr val="FFFFFF"/>
                          </a:solidFill>
                          <a:ln w="9525">
                            <a:noFill/>
                            <a:miter lim="800000"/>
                            <a:headEnd/>
                            <a:tailEnd/>
                          </a:ln>
                        </pic:spPr>
                      </pic:pic>
                    </a:graphicData>
                  </a:graphic>
                </wp:inline>
              </w:drawing>
            </w:r>
            <w:r w:rsidRPr="00CF18D0">
              <w:rPr>
                <w:sz w:val="24"/>
                <w:szCs w:val="24"/>
              </w:rPr>
              <w:t>Наименование продукции</w:t>
            </w:r>
          </w:p>
        </w:tc>
        <w:tc>
          <w:tcPr>
            <w:tcW w:w="1417" w:type="dxa"/>
            <w:vMerge w:val="restart"/>
            <w:tcBorders>
              <w:top w:val="single" w:sz="4" w:space="0" w:color="000000"/>
              <w:left w:val="single" w:sz="4" w:space="0" w:color="000000"/>
              <w:bottom w:val="single" w:sz="4" w:space="0" w:color="000000"/>
            </w:tcBorders>
            <w:vAlign w:val="center"/>
          </w:tcPr>
          <w:p w:rsidR="004D3812" w:rsidRPr="00CF18D0" w:rsidRDefault="004D3812" w:rsidP="0005613F">
            <w:pPr>
              <w:snapToGrid w:val="0"/>
              <w:jc w:val="center"/>
              <w:rPr>
                <w:sz w:val="24"/>
                <w:szCs w:val="24"/>
              </w:rPr>
            </w:pPr>
            <w:r w:rsidRPr="00CF18D0">
              <w:rPr>
                <w:sz w:val="24"/>
                <w:szCs w:val="24"/>
              </w:rPr>
              <w:t>Ед. изм.</w:t>
            </w:r>
          </w:p>
        </w:tc>
        <w:tc>
          <w:tcPr>
            <w:tcW w:w="3119" w:type="dxa"/>
            <w:gridSpan w:val="2"/>
            <w:tcBorders>
              <w:top w:val="single" w:sz="4" w:space="0" w:color="000000"/>
              <w:left w:val="single" w:sz="4" w:space="0" w:color="000000"/>
              <w:bottom w:val="single" w:sz="4" w:space="0" w:color="000000"/>
            </w:tcBorders>
          </w:tcPr>
          <w:p w:rsidR="004D3812" w:rsidRPr="00CF18D0" w:rsidRDefault="004D3812" w:rsidP="0005613F">
            <w:pPr>
              <w:jc w:val="center"/>
              <w:rPr>
                <w:sz w:val="24"/>
                <w:szCs w:val="24"/>
              </w:rPr>
            </w:pPr>
            <w:r w:rsidRPr="00CF18D0">
              <w:rPr>
                <w:sz w:val="24"/>
                <w:szCs w:val="24"/>
              </w:rPr>
              <w:t>Прогноз на 2017 год</w:t>
            </w:r>
          </w:p>
        </w:tc>
        <w:tc>
          <w:tcPr>
            <w:tcW w:w="1701" w:type="dxa"/>
            <w:vMerge w:val="restart"/>
            <w:tcBorders>
              <w:top w:val="single" w:sz="4" w:space="0" w:color="000000"/>
              <w:left w:val="single" w:sz="4" w:space="0" w:color="000000"/>
              <w:bottom w:val="single" w:sz="4" w:space="0" w:color="000000"/>
              <w:right w:val="single" w:sz="4" w:space="0" w:color="000000"/>
            </w:tcBorders>
          </w:tcPr>
          <w:p w:rsidR="004D3812" w:rsidRPr="00CF18D0" w:rsidRDefault="004D3812" w:rsidP="0005613F">
            <w:pPr>
              <w:jc w:val="center"/>
              <w:rPr>
                <w:sz w:val="24"/>
                <w:szCs w:val="24"/>
              </w:rPr>
            </w:pPr>
            <w:r w:rsidRPr="00CF18D0">
              <w:rPr>
                <w:sz w:val="24"/>
                <w:szCs w:val="24"/>
              </w:rPr>
              <w:t>2017 год (оценка)</w:t>
            </w:r>
          </w:p>
        </w:tc>
      </w:tr>
      <w:tr w:rsidR="004D3812" w:rsidRPr="00CF18D0" w:rsidTr="0005613F">
        <w:trPr>
          <w:trHeight w:val="481"/>
          <w:tblHeader/>
        </w:trPr>
        <w:tc>
          <w:tcPr>
            <w:tcW w:w="3283" w:type="dxa"/>
            <w:vMerge/>
            <w:tcBorders>
              <w:top w:val="single" w:sz="4" w:space="0" w:color="000000"/>
              <w:left w:val="single" w:sz="4" w:space="0" w:color="000000"/>
              <w:bottom w:val="single" w:sz="4" w:space="0" w:color="000000"/>
            </w:tcBorders>
            <w:vAlign w:val="center"/>
          </w:tcPr>
          <w:p w:rsidR="004D3812" w:rsidRPr="00CF18D0" w:rsidRDefault="004D3812" w:rsidP="0005613F">
            <w:pPr>
              <w:snapToGrid w:val="0"/>
              <w:jc w:val="center"/>
              <w:rPr>
                <w:sz w:val="24"/>
                <w:szCs w:val="24"/>
              </w:rPr>
            </w:pPr>
          </w:p>
        </w:tc>
        <w:tc>
          <w:tcPr>
            <w:tcW w:w="1417" w:type="dxa"/>
            <w:vMerge/>
            <w:tcBorders>
              <w:top w:val="single" w:sz="4" w:space="0" w:color="000000"/>
              <w:left w:val="single" w:sz="4" w:space="0" w:color="000000"/>
              <w:bottom w:val="single" w:sz="4" w:space="0" w:color="000000"/>
            </w:tcBorders>
            <w:vAlign w:val="center"/>
          </w:tcPr>
          <w:p w:rsidR="004D3812" w:rsidRPr="00CF18D0" w:rsidRDefault="004D3812" w:rsidP="0005613F">
            <w:pPr>
              <w:snapToGrid w:val="0"/>
              <w:jc w:val="center"/>
              <w:rPr>
                <w:sz w:val="24"/>
                <w:szCs w:val="24"/>
              </w:rPr>
            </w:pPr>
          </w:p>
        </w:tc>
        <w:tc>
          <w:tcPr>
            <w:tcW w:w="1559"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jc w:val="center"/>
              <w:rPr>
                <w:sz w:val="24"/>
                <w:szCs w:val="24"/>
              </w:rPr>
            </w:pPr>
            <w:r w:rsidRPr="00CF18D0">
              <w:rPr>
                <w:sz w:val="24"/>
                <w:szCs w:val="24"/>
              </w:rPr>
              <w:t>1 вариант</w:t>
            </w:r>
          </w:p>
        </w:tc>
        <w:tc>
          <w:tcPr>
            <w:tcW w:w="1560" w:type="dxa"/>
            <w:tcBorders>
              <w:top w:val="single" w:sz="4" w:space="0" w:color="000000"/>
              <w:left w:val="single" w:sz="4" w:space="0" w:color="000000"/>
              <w:bottom w:val="single" w:sz="4" w:space="0" w:color="000000"/>
            </w:tcBorders>
            <w:vAlign w:val="center"/>
          </w:tcPr>
          <w:p w:rsidR="004D3812" w:rsidRPr="00CF18D0" w:rsidRDefault="004D3812" w:rsidP="0005613F">
            <w:pPr>
              <w:jc w:val="center"/>
              <w:rPr>
                <w:sz w:val="24"/>
                <w:szCs w:val="24"/>
              </w:rPr>
            </w:pPr>
            <w:r w:rsidRPr="00CF18D0">
              <w:rPr>
                <w:sz w:val="24"/>
                <w:szCs w:val="24"/>
              </w:rPr>
              <w:t>2 вариант</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D3812" w:rsidRPr="00CF18D0" w:rsidRDefault="004D3812" w:rsidP="0005613F">
            <w:pPr>
              <w:snapToGrid w:val="0"/>
              <w:jc w:val="center"/>
              <w:rPr>
                <w:sz w:val="24"/>
                <w:szCs w:val="24"/>
              </w:rPr>
            </w:pPr>
          </w:p>
        </w:tc>
      </w:tr>
      <w:tr w:rsidR="004D3812" w:rsidRPr="00CF18D0" w:rsidTr="0005613F">
        <w:trPr>
          <w:trHeight w:val="481"/>
        </w:trPr>
        <w:tc>
          <w:tcPr>
            <w:tcW w:w="3283"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rPr>
                <w:sz w:val="24"/>
                <w:szCs w:val="24"/>
              </w:rPr>
            </w:pPr>
            <w:r>
              <w:rPr>
                <w:sz w:val="24"/>
                <w:szCs w:val="24"/>
              </w:rPr>
              <w:t>Полуфабрикаты мясные</w:t>
            </w:r>
          </w:p>
        </w:tc>
        <w:tc>
          <w:tcPr>
            <w:tcW w:w="1417" w:type="dxa"/>
            <w:tcBorders>
              <w:top w:val="single" w:sz="4" w:space="0" w:color="000000"/>
              <w:left w:val="single" w:sz="4" w:space="0" w:color="000000"/>
              <w:bottom w:val="single" w:sz="4" w:space="0" w:color="000000"/>
            </w:tcBorders>
          </w:tcPr>
          <w:p w:rsidR="004D3812" w:rsidRPr="00CF18D0" w:rsidRDefault="004D3812" w:rsidP="0005613F">
            <w:pPr>
              <w:snapToGrid w:val="0"/>
              <w:jc w:val="center"/>
              <w:rPr>
                <w:sz w:val="24"/>
                <w:szCs w:val="24"/>
              </w:rPr>
            </w:pPr>
            <w:r w:rsidRPr="00CF18D0">
              <w:rPr>
                <w:sz w:val="24"/>
                <w:szCs w:val="24"/>
              </w:rPr>
              <w:t>тыс.тонн</w:t>
            </w:r>
          </w:p>
        </w:tc>
        <w:tc>
          <w:tcPr>
            <w:tcW w:w="1559"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w:t>
            </w:r>
          </w:p>
        </w:tc>
        <w:tc>
          <w:tcPr>
            <w:tcW w:w="1560"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4D3812" w:rsidRPr="00592BCD" w:rsidRDefault="004D3812" w:rsidP="0005613F">
            <w:pPr>
              <w:snapToGrid w:val="0"/>
              <w:jc w:val="center"/>
              <w:rPr>
                <w:sz w:val="24"/>
                <w:szCs w:val="24"/>
                <w:highlight w:val="yellow"/>
              </w:rPr>
            </w:pPr>
            <w:r w:rsidRPr="00C900DF">
              <w:rPr>
                <w:sz w:val="24"/>
                <w:szCs w:val="24"/>
              </w:rPr>
              <w:t>8,7</w:t>
            </w:r>
          </w:p>
        </w:tc>
      </w:tr>
      <w:tr w:rsidR="004D3812" w:rsidRPr="00CF18D0" w:rsidTr="0005613F">
        <w:trPr>
          <w:trHeight w:val="481"/>
        </w:trPr>
        <w:tc>
          <w:tcPr>
            <w:tcW w:w="3283"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rPr>
                <w:sz w:val="24"/>
                <w:szCs w:val="24"/>
              </w:rPr>
            </w:pPr>
            <w:r w:rsidRPr="00CF18D0">
              <w:rPr>
                <w:sz w:val="24"/>
                <w:szCs w:val="24"/>
              </w:rPr>
              <w:t>Хлеб и хлебобулочные изделия</w:t>
            </w:r>
          </w:p>
        </w:tc>
        <w:tc>
          <w:tcPr>
            <w:tcW w:w="1417" w:type="dxa"/>
            <w:tcBorders>
              <w:top w:val="single" w:sz="4" w:space="0" w:color="000000"/>
              <w:left w:val="single" w:sz="4" w:space="0" w:color="000000"/>
              <w:bottom w:val="single" w:sz="4" w:space="0" w:color="000000"/>
            </w:tcBorders>
          </w:tcPr>
          <w:p w:rsidR="004D3812" w:rsidRPr="00CF18D0" w:rsidRDefault="004D3812" w:rsidP="0005613F">
            <w:pPr>
              <w:snapToGrid w:val="0"/>
              <w:jc w:val="center"/>
              <w:rPr>
                <w:sz w:val="24"/>
                <w:szCs w:val="24"/>
              </w:rPr>
            </w:pPr>
            <w:r w:rsidRPr="00CF18D0">
              <w:rPr>
                <w:sz w:val="24"/>
                <w:szCs w:val="24"/>
              </w:rPr>
              <w:t>тыс.тонн</w:t>
            </w:r>
          </w:p>
        </w:tc>
        <w:tc>
          <w:tcPr>
            <w:tcW w:w="1559"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30,0</w:t>
            </w:r>
          </w:p>
        </w:tc>
        <w:tc>
          <w:tcPr>
            <w:tcW w:w="1560"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32,0</w:t>
            </w:r>
          </w:p>
        </w:tc>
        <w:tc>
          <w:tcPr>
            <w:tcW w:w="1701" w:type="dxa"/>
            <w:tcBorders>
              <w:top w:val="single" w:sz="4" w:space="0" w:color="000000"/>
              <w:left w:val="single" w:sz="4" w:space="0" w:color="000000"/>
              <w:bottom w:val="single" w:sz="4" w:space="0" w:color="000000"/>
              <w:right w:val="single" w:sz="4" w:space="0" w:color="000000"/>
            </w:tcBorders>
            <w:vAlign w:val="center"/>
          </w:tcPr>
          <w:p w:rsidR="004D3812" w:rsidRPr="00592BCD" w:rsidRDefault="004D3812" w:rsidP="0005613F">
            <w:pPr>
              <w:snapToGrid w:val="0"/>
              <w:jc w:val="center"/>
              <w:rPr>
                <w:sz w:val="24"/>
                <w:szCs w:val="24"/>
                <w:highlight w:val="yellow"/>
              </w:rPr>
            </w:pPr>
            <w:r w:rsidRPr="00C900DF">
              <w:rPr>
                <w:sz w:val="24"/>
                <w:szCs w:val="24"/>
              </w:rPr>
              <w:t>29,6</w:t>
            </w:r>
          </w:p>
        </w:tc>
      </w:tr>
      <w:tr w:rsidR="004D3812" w:rsidRPr="00CF18D0" w:rsidTr="0005613F">
        <w:trPr>
          <w:trHeight w:val="481"/>
        </w:trPr>
        <w:tc>
          <w:tcPr>
            <w:tcW w:w="3283"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rPr>
                <w:sz w:val="24"/>
                <w:szCs w:val="24"/>
              </w:rPr>
            </w:pPr>
            <w:r w:rsidRPr="00CF18D0">
              <w:rPr>
                <w:sz w:val="24"/>
                <w:szCs w:val="24"/>
              </w:rPr>
              <w:t>Пластмассы в первичных формах</w:t>
            </w:r>
          </w:p>
        </w:tc>
        <w:tc>
          <w:tcPr>
            <w:tcW w:w="1417" w:type="dxa"/>
            <w:tcBorders>
              <w:top w:val="single" w:sz="4" w:space="0" w:color="000000"/>
              <w:left w:val="single" w:sz="4" w:space="0" w:color="000000"/>
              <w:bottom w:val="single" w:sz="4" w:space="0" w:color="000000"/>
            </w:tcBorders>
          </w:tcPr>
          <w:p w:rsidR="004D3812" w:rsidRPr="00CF18D0" w:rsidRDefault="004D3812" w:rsidP="0005613F">
            <w:pPr>
              <w:snapToGrid w:val="0"/>
              <w:jc w:val="center"/>
              <w:rPr>
                <w:sz w:val="24"/>
                <w:szCs w:val="24"/>
              </w:rPr>
            </w:pPr>
            <w:r w:rsidRPr="00CF18D0">
              <w:rPr>
                <w:sz w:val="24"/>
                <w:szCs w:val="24"/>
              </w:rPr>
              <w:t>тыс.тонн</w:t>
            </w:r>
          </w:p>
        </w:tc>
        <w:tc>
          <w:tcPr>
            <w:tcW w:w="1559"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440,0</w:t>
            </w:r>
          </w:p>
        </w:tc>
        <w:tc>
          <w:tcPr>
            <w:tcW w:w="1560" w:type="dxa"/>
            <w:tcBorders>
              <w:top w:val="single" w:sz="4" w:space="0" w:color="000000"/>
              <w:left w:val="single" w:sz="4" w:space="0" w:color="000000"/>
              <w:bottom w:val="single" w:sz="4" w:space="0" w:color="000000"/>
            </w:tcBorders>
            <w:vAlign w:val="center"/>
          </w:tcPr>
          <w:p w:rsidR="004D3812" w:rsidRPr="00C900DF" w:rsidRDefault="004D3812" w:rsidP="0005613F">
            <w:pPr>
              <w:jc w:val="center"/>
              <w:rPr>
                <w:sz w:val="24"/>
                <w:szCs w:val="24"/>
              </w:rPr>
            </w:pPr>
            <w:r w:rsidRPr="00C900DF">
              <w:rPr>
                <w:sz w:val="24"/>
                <w:szCs w:val="24"/>
              </w:rPr>
              <w:t>480,0</w:t>
            </w:r>
          </w:p>
        </w:tc>
        <w:tc>
          <w:tcPr>
            <w:tcW w:w="1701" w:type="dxa"/>
            <w:tcBorders>
              <w:top w:val="single" w:sz="4" w:space="0" w:color="000000"/>
              <w:left w:val="single" w:sz="4" w:space="0" w:color="000000"/>
              <w:bottom w:val="single" w:sz="4" w:space="0" w:color="000000"/>
              <w:right w:val="single" w:sz="4" w:space="0" w:color="000000"/>
            </w:tcBorders>
            <w:vAlign w:val="center"/>
          </w:tcPr>
          <w:p w:rsidR="004D3812" w:rsidRPr="00592BCD" w:rsidRDefault="004D3812" w:rsidP="0005613F">
            <w:pPr>
              <w:snapToGrid w:val="0"/>
              <w:jc w:val="center"/>
              <w:rPr>
                <w:sz w:val="24"/>
                <w:szCs w:val="24"/>
                <w:highlight w:val="yellow"/>
              </w:rPr>
            </w:pPr>
            <w:r w:rsidRPr="00C900DF">
              <w:rPr>
                <w:sz w:val="24"/>
                <w:szCs w:val="24"/>
              </w:rPr>
              <w:t>516,9</w:t>
            </w:r>
          </w:p>
        </w:tc>
      </w:tr>
      <w:tr w:rsidR="004D3812" w:rsidRPr="00CF18D0" w:rsidTr="0005613F">
        <w:tc>
          <w:tcPr>
            <w:tcW w:w="3283"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rPr>
                <w:sz w:val="24"/>
                <w:szCs w:val="24"/>
              </w:rPr>
            </w:pPr>
            <w:r w:rsidRPr="00CF18D0">
              <w:rPr>
                <w:sz w:val="24"/>
                <w:szCs w:val="24"/>
              </w:rPr>
              <w:t xml:space="preserve">Легковые автомобили </w:t>
            </w:r>
          </w:p>
        </w:tc>
        <w:tc>
          <w:tcPr>
            <w:tcW w:w="1417" w:type="dxa"/>
            <w:tcBorders>
              <w:top w:val="single" w:sz="4" w:space="0" w:color="000000"/>
              <w:left w:val="single" w:sz="4" w:space="0" w:color="000000"/>
              <w:bottom w:val="single" w:sz="4" w:space="0" w:color="000000"/>
            </w:tcBorders>
          </w:tcPr>
          <w:p w:rsidR="004D3812" w:rsidRPr="00CF18D0" w:rsidRDefault="004D3812" w:rsidP="0005613F">
            <w:pPr>
              <w:snapToGrid w:val="0"/>
              <w:jc w:val="center"/>
              <w:rPr>
                <w:sz w:val="24"/>
                <w:szCs w:val="24"/>
              </w:rPr>
            </w:pPr>
            <w:r w:rsidRPr="00CF18D0">
              <w:rPr>
                <w:sz w:val="24"/>
                <w:szCs w:val="24"/>
              </w:rPr>
              <w:t>тыс.штук</w:t>
            </w:r>
          </w:p>
        </w:tc>
        <w:tc>
          <w:tcPr>
            <w:tcW w:w="1559" w:type="dxa"/>
            <w:tcBorders>
              <w:top w:val="single" w:sz="4" w:space="0" w:color="000000"/>
              <w:left w:val="single" w:sz="4" w:space="0" w:color="000000"/>
              <w:bottom w:val="single" w:sz="4" w:space="0" w:color="000000"/>
            </w:tcBorders>
            <w:vAlign w:val="center"/>
          </w:tcPr>
          <w:p w:rsidR="004D3812" w:rsidRPr="00C900DF" w:rsidRDefault="004D3812" w:rsidP="0005613F">
            <w:pPr>
              <w:snapToGrid w:val="0"/>
              <w:jc w:val="center"/>
              <w:rPr>
                <w:sz w:val="24"/>
                <w:szCs w:val="24"/>
              </w:rPr>
            </w:pPr>
            <w:r w:rsidRPr="00C900DF">
              <w:rPr>
                <w:sz w:val="24"/>
                <w:szCs w:val="24"/>
              </w:rPr>
              <w:t>239,0</w:t>
            </w:r>
          </w:p>
        </w:tc>
        <w:tc>
          <w:tcPr>
            <w:tcW w:w="1560" w:type="dxa"/>
            <w:tcBorders>
              <w:top w:val="single" w:sz="4" w:space="0" w:color="000000"/>
              <w:left w:val="single" w:sz="4" w:space="0" w:color="000000"/>
              <w:bottom w:val="single" w:sz="4" w:space="0" w:color="000000"/>
            </w:tcBorders>
            <w:vAlign w:val="center"/>
          </w:tcPr>
          <w:p w:rsidR="004D3812" w:rsidRPr="00C900DF" w:rsidRDefault="004D3812" w:rsidP="0005613F">
            <w:pPr>
              <w:snapToGrid w:val="0"/>
              <w:jc w:val="center"/>
              <w:rPr>
                <w:sz w:val="24"/>
                <w:szCs w:val="24"/>
              </w:rPr>
            </w:pPr>
            <w:r w:rsidRPr="00C900DF">
              <w:rPr>
                <w:sz w:val="24"/>
                <w:szCs w:val="24"/>
              </w:rPr>
              <w:t>253,0</w:t>
            </w:r>
          </w:p>
        </w:tc>
        <w:tc>
          <w:tcPr>
            <w:tcW w:w="1701" w:type="dxa"/>
            <w:tcBorders>
              <w:top w:val="single" w:sz="4" w:space="0" w:color="000000"/>
              <w:left w:val="single" w:sz="4" w:space="0" w:color="000000"/>
              <w:bottom w:val="single" w:sz="4" w:space="0" w:color="000000"/>
              <w:right w:val="single" w:sz="4" w:space="0" w:color="000000"/>
            </w:tcBorders>
            <w:vAlign w:val="center"/>
          </w:tcPr>
          <w:p w:rsidR="004D3812" w:rsidRPr="00592BCD" w:rsidRDefault="004D3812" w:rsidP="0005613F">
            <w:pPr>
              <w:snapToGrid w:val="0"/>
              <w:jc w:val="center"/>
              <w:rPr>
                <w:sz w:val="24"/>
                <w:szCs w:val="24"/>
                <w:highlight w:val="yellow"/>
              </w:rPr>
            </w:pPr>
            <w:r w:rsidRPr="00C900DF">
              <w:rPr>
                <w:sz w:val="24"/>
                <w:szCs w:val="24"/>
              </w:rPr>
              <w:t>329,0</w:t>
            </w:r>
          </w:p>
        </w:tc>
      </w:tr>
      <w:tr w:rsidR="004D3812" w:rsidRPr="00CF18D0" w:rsidTr="0005613F">
        <w:tc>
          <w:tcPr>
            <w:tcW w:w="3283" w:type="dxa"/>
            <w:tcBorders>
              <w:top w:val="single" w:sz="4" w:space="0" w:color="000000"/>
              <w:left w:val="single" w:sz="4" w:space="0" w:color="000000"/>
              <w:bottom w:val="single" w:sz="4" w:space="0" w:color="000000"/>
            </w:tcBorders>
            <w:vAlign w:val="center"/>
          </w:tcPr>
          <w:p w:rsidR="004D3812" w:rsidRPr="00CF18D0" w:rsidRDefault="004D3812" w:rsidP="0005613F">
            <w:pPr>
              <w:snapToGrid w:val="0"/>
              <w:rPr>
                <w:sz w:val="24"/>
                <w:szCs w:val="24"/>
              </w:rPr>
            </w:pPr>
            <w:r w:rsidRPr="00CF18D0">
              <w:rPr>
                <w:sz w:val="24"/>
                <w:szCs w:val="24"/>
              </w:rPr>
              <w:t>Электроэнергия</w:t>
            </w:r>
          </w:p>
        </w:tc>
        <w:tc>
          <w:tcPr>
            <w:tcW w:w="1417" w:type="dxa"/>
            <w:tcBorders>
              <w:top w:val="single" w:sz="4" w:space="0" w:color="000000"/>
              <w:left w:val="single" w:sz="4" w:space="0" w:color="000000"/>
              <w:bottom w:val="single" w:sz="4" w:space="0" w:color="000000"/>
            </w:tcBorders>
          </w:tcPr>
          <w:p w:rsidR="004D3812" w:rsidRPr="00CF18D0" w:rsidRDefault="004D3812" w:rsidP="0005613F">
            <w:pPr>
              <w:snapToGrid w:val="0"/>
              <w:jc w:val="center"/>
              <w:rPr>
                <w:sz w:val="24"/>
                <w:szCs w:val="24"/>
              </w:rPr>
            </w:pPr>
            <w:r w:rsidRPr="00CF18D0">
              <w:rPr>
                <w:sz w:val="24"/>
                <w:szCs w:val="24"/>
              </w:rPr>
              <w:t>гигаватт-час</w:t>
            </w:r>
          </w:p>
        </w:tc>
        <w:tc>
          <w:tcPr>
            <w:tcW w:w="1559" w:type="dxa"/>
            <w:tcBorders>
              <w:top w:val="single" w:sz="4" w:space="0" w:color="000000"/>
              <w:left w:val="single" w:sz="4" w:space="0" w:color="000000"/>
              <w:bottom w:val="single" w:sz="4" w:space="0" w:color="000000"/>
            </w:tcBorders>
            <w:vAlign w:val="center"/>
          </w:tcPr>
          <w:p w:rsidR="004D3812" w:rsidRPr="00C900DF" w:rsidRDefault="004D3812" w:rsidP="0005613F">
            <w:pPr>
              <w:snapToGrid w:val="0"/>
              <w:jc w:val="center"/>
              <w:rPr>
                <w:sz w:val="24"/>
                <w:szCs w:val="24"/>
              </w:rPr>
            </w:pPr>
            <w:r w:rsidRPr="00C900DF">
              <w:rPr>
                <w:sz w:val="24"/>
                <w:szCs w:val="24"/>
              </w:rPr>
              <w:t>4 000,0</w:t>
            </w:r>
          </w:p>
        </w:tc>
        <w:tc>
          <w:tcPr>
            <w:tcW w:w="1560" w:type="dxa"/>
            <w:tcBorders>
              <w:top w:val="single" w:sz="4" w:space="0" w:color="000000"/>
              <w:left w:val="single" w:sz="4" w:space="0" w:color="000000"/>
              <w:bottom w:val="single" w:sz="4" w:space="0" w:color="000000"/>
            </w:tcBorders>
            <w:vAlign w:val="center"/>
          </w:tcPr>
          <w:p w:rsidR="004D3812" w:rsidRPr="00C900DF" w:rsidRDefault="004D3812" w:rsidP="0005613F">
            <w:pPr>
              <w:snapToGrid w:val="0"/>
              <w:jc w:val="center"/>
              <w:rPr>
                <w:sz w:val="24"/>
                <w:szCs w:val="24"/>
              </w:rPr>
            </w:pPr>
            <w:r w:rsidRPr="00C900DF">
              <w:rPr>
                <w:sz w:val="24"/>
                <w:szCs w:val="24"/>
              </w:rPr>
              <w:t>4 200,0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4D3812" w:rsidRPr="00592BCD" w:rsidRDefault="004D3812" w:rsidP="0005613F">
            <w:pPr>
              <w:snapToGrid w:val="0"/>
              <w:jc w:val="center"/>
              <w:rPr>
                <w:sz w:val="24"/>
                <w:szCs w:val="24"/>
                <w:highlight w:val="yellow"/>
              </w:rPr>
            </w:pPr>
            <w:r w:rsidRPr="00C900DF">
              <w:rPr>
                <w:sz w:val="24"/>
                <w:szCs w:val="24"/>
              </w:rPr>
              <w:t>4 456,1</w:t>
            </w:r>
          </w:p>
        </w:tc>
      </w:tr>
    </w:tbl>
    <w:p w:rsidR="002C45DB" w:rsidRDefault="002C45DB" w:rsidP="004D3812">
      <w:pPr>
        <w:spacing w:line="276" w:lineRule="auto"/>
        <w:ind w:firstLine="709"/>
        <w:jc w:val="both"/>
        <w:rPr>
          <w:sz w:val="24"/>
          <w:szCs w:val="24"/>
        </w:rPr>
      </w:pPr>
    </w:p>
    <w:p w:rsidR="004D3812" w:rsidRDefault="004D3812" w:rsidP="004D3812">
      <w:pPr>
        <w:spacing w:line="276" w:lineRule="auto"/>
        <w:ind w:firstLine="709"/>
        <w:jc w:val="both"/>
        <w:rPr>
          <w:sz w:val="24"/>
          <w:szCs w:val="24"/>
        </w:rPr>
      </w:pPr>
      <w:r>
        <w:rPr>
          <w:sz w:val="24"/>
          <w:szCs w:val="24"/>
        </w:rPr>
        <w:t>Значения</w:t>
      </w:r>
      <w:r w:rsidRPr="00CF18D0">
        <w:rPr>
          <w:sz w:val="24"/>
          <w:szCs w:val="24"/>
        </w:rPr>
        <w:t xml:space="preserve"> показател</w:t>
      </w:r>
      <w:r>
        <w:rPr>
          <w:sz w:val="24"/>
          <w:szCs w:val="24"/>
        </w:rPr>
        <w:t>ей</w:t>
      </w:r>
      <w:r w:rsidRPr="00CF18D0">
        <w:rPr>
          <w:sz w:val="24"/>
          <w:szCs w:val="24"/>
        </w:rPr>
        <w:t xml:space="preserve"> по производству промышленной продукции в натуральном выражении </w:t>
      </w:r>
      <w:r>
        <w:rPr>
          <w:sz w:val="24"/>
          <w:szCs w:val="24"/>
        </w:rPr>
        <w:t>на 2017 год</w:t>
      </w:r>
      <w:r w:rsidRPr="00CF18D0">
        <w:rPr>
          <w:sz w:val="24"/>
          <w:szCs w:val="24"/>
        </w:rPr>
        <w:t xml:space="preserve"> </w:t>
      </w:r>
      <w:r>
        <w:rPr>
          <w:sz w:val="24"/>
          <w:szCs w:val="24"/>
        </w:rPr>
        <w:t xml:space="preserve">скорректированы относительно прошлогоднего </w:t>
      </w:r>
      <w:r w:rsidRPr="00CF18D0">
        <w:rPr>
          <w:sz w:val="24"/>
          <w:szCs w:val="24"/>
        </w:rPr>
        <w:t>прогноз</w:t>
      </w:r>
      <w:r>
        <w:rPr>
          <w:sz w:val="24"/>
          <w:szCs w:val="24"/>
        </w:rPr>
        <w:t>а</w:t>
      </w:r>
      <w:r w:rsidRPr="00CF18D0">
        <w:rPr>
          <w:sz w:val="24"/>
          <w:szCs w:val="24"/>
        </w:rPr>
        <w:t xml:space="preserve">  </w:t>
      </w:r>
      <w:r>
        <w:rPr>
          <w:sz w:val="24"/>
          <w:szCs w:val="24"/>
        </w:rPr>
        <w:t>на основании</w:t>
      </w:r>
      <w:r w:rsidRPr="00CF18D0">
        <w:rPr>
          <w:sz w:val="24"/>
          <w:szCs w:val="24"/>
        </w:rPr>
        <w:t xml:space="preserve"> </w:t>
      </w:r>
      <w:r>
        <w:rPr>
          <w:sz w:val="24"/>
          <w:szCs w:val="24"/>
        </w:rPr>
        <w:t>сложившейся в текущем году</w:t>
      </w:r>
      <w:r w:rsidRPr="00CF18D0">
        <w:rPr>
          <w:sz w:val="24"/>
          <w:szCs w:val="24"/>
        </w:rPr>
        <w:t xml:space="preserve"> динамик</w:t>
      </w:r>
      <w:r>
        <w:rPr>
          <w:sz w:val="24"/>
          <w:szCs w:val="24"/>
        </w:rPr>
        <w:t>и фактических значений показателей</w:t>
      </w:r>
      <w:r w:rsidRPr="00CF18D0">
        <w:rPr>
          <w:sz w:val="24"/>
          <w:szCs w:val="24"/>
        </w:rPr>
        <w:t>.</w:t>
      </w:r>
    </w:p>
    <w:p w:rsidR="004D3812" w:rsidRPr="00CF18D0" w:rsidRDefault="004D3812" w:rsidP="004D3812">
      <w:pPr>
        <w:spacing w:line="276" w:lineRule="auto"/>
        <w:ind w:firstLine="709"/>
        <w:jc w:val="both"/>
        <w:rPr>
          <w:sz w:val="24"/>
          <w:szCs w:val="24"/>
        </w:rPr>
      </w:pPr>
    </w:p>
    <w:p w:rsidR="004D3812" w:rsidRDefault="004D3812" w:rsidP="004D3812">
      <w:pPr>
        <w:pStyle w:val="1f"/>
        <w:spacing w:line="276" w:lineRule="auto"/>
        <w:ind w:right="-1"/>
        <w:jc w:val="center"/>
        <w:rPr>
          <w:rFonts w:ascii="Times New Roman" w:hAnsi="Times New Roman" w:cs="Times New Roman"/>
          <w:b/>
          <w:sz w:val="24"/>
          <w:szCs w:val="24"/>
        </w:rPr>
      </w:pPr>
      <w:r w:rsidRPr="00CF18D0">
        <w:rPr>
          <w:rFonts w:ascii="Times New Roman" w:hAnsi="Times New Roman" w:cs="Times New Roman"/>
          <w:b/>
          <w:sz w:val="24"/>
          <w:szCs w:val="24"/>
        </w:rPr>
        <w:t>Малое и среднее предпринимательство.</w:t>
      </w:r>
    </w:p>
    <w:p w:rsidR="004D3812" w:rsidRPr="00CF18D0" w:rsidRDefault="004D3812" w:rsidP="004D3812">
      <w:pPr>
        <w:pStyle w:val="1f"/>
        <w:spacing w:line="276" w:lineRule="auto"/>
        <w:ind w:right="-1"/>
        <w:jc w:val="center"/>
        <w:rPr>
          <w:rFonts w:ascii="Times New Roman" w:hAnsi="Times New Roman" w:cs="Times New Roman"/>
          <w:b/>
          <w:sz w:val="24"/>
          <w:szCs w:val="24"/>
        </w:rPr>
      </w:pPr>
    </w:p>
    <w:p w:rsidR="004D3812" w:rsidRPr="00CF18D0" w:rsidRDefault="004D3812" w:rsidP="00A37018">
      <w:pPr>
        <w:pStyle w:val="aff9"/>
        <w:spacing w:before="0" w:line="276" w:lineRule="auto"/>
        <w:ind w:left="0" w:right="0" w:firstLine="709"/>
        <w:jc w:val="both"/>
        <w:rPr>
          <w:color w:val="1A1A1A"/>
          <w:sz w:val="24"/>
          <w:szCs w:val="24"/>
          <w:shd w:val="clear" w:color="auto" w:fill="FFFFFF"/>
        </w:rPr>
      </w:pPr>
      <w:r w:rsidRPr="00CF18D0">
        <w:rPr>
          <w:color w:val="1A1A1A"/>
          <w:sz w:val="24"/>
          <w:szCs w:val="24"/>
          <w:shd w:val="clear" w:color="auto" w:fill="FFFFFF"/>
        </w:rPr>
        <w:t>На основе сведений, содержащихся в Едино</w:t>
      </w:r>
      <w:r>
        <w:rPr>
          <w:color w:val="1A1A1A"/>
          <w:sz w:val="24"/>
          <w:szCs w:val="24"/>
          <w:shd w:val="clear" w:color="auto" w:fill="FFFFFF"/>
        </w:rPr>
        <w:t>м</w:t>
      </w:r>
      <w:r w:rsidRPr="00CF18D0">
        <w:rPr>
          <w:color w:val="1A1A1A"/>
          <w:sz w:val="24"/>
          <w:szCs w:val="24"/>
          <w:shd w:val="clear" w:color="auto" w:fill="FFFFFF"/>
        </w:rPr>
        <w:t xml:space="preserve"> реестр</w:t>
      </w:r>
      <w:r>
        <w:rPr>
          <w:color w:val="1A1A1A"/>
          <w:sz w:val="24"/>
          <w:szCs w:val="24"/>
          <w:shd w:val="clear" w:color="auto" w:fill="FFFFFF"/>
        </w:rPr>
        <w:t>е</w:t>
      </w:r>
      <w:r w:rsidRPr="00CF18D0">
        <w:rPr>
          <w:color w:val="1A1A1A"/>
          <w:sz w:val="24"/>
          <w:szCs w:val="24"/>
          <w:shd w:val="clear" w:color="auto" w:fill="FFFFFF"/>
        </w:rPr>
        <w:t xml:space="preserve"> субъектов малого и среднего предпринимательства</w:t>
      </w:r>
      <w:r>
        <w:rPr>
          <w:color w:val="1A1A1A"/>
          <w:sz w:val="24"/>
          <w:szCs w:val="24"/>
          <w:shd w:val="clear" w:color="auto" w:fill="FFFFFF"/>
        </w:rPr>
        <w:t xml:space="preserve"> (далее по разделу – Реестр)</w:t>
      </w:r>
      <w:r w:rsidRPr="00CF18D0">
        <w:rPr>
          <w:color w:val="1A1A1A"/>
          <w:sz w:val="24"/>
          <w:szCs w:val="24"/>
          <w:shd w:val="clear" w:color="auto" w:fill="FFFFFF"/>
        </w:rPr>
        <w:t xml:space="preserve">, количество субъектов малого и среднего предпринимательства (далее – СМСП) в городском округе Тольятти по </w:t>
      </w:r>
      <w:r>
        <w:rPr>
          <w:color w:val="1A1A1A"/>
          <w:sz w:val="24"/>
          <w:szCs w:val="24"/>
          <w:shd w:val="clear" w:color="auto" w:fill="FFFFFF"/>
        </w:rPr>
        <w:t xml:space="preserve">состоянию на </w:t>
      </w:r>
      <w:r w:rsidR="00F26D3F">
        <w:rPr>
          <w:color w:val="1A1A1A"/>
          <w:sz w:val="24"/>
          <w:szCs w:val="24"/>
          <w:shd w:val="clear" w:color="auto" w:fill="FFFFFF"/>
        </w:rPr>
        <w:t>31.12.2016</w:t>
      </w:r>
      <w:r w:rsidRPr="00CF18D0">
        <w:rPr>
          <w:color w:val="1A1A1A"/>
          <w:sz w:val="24"/>
          <w:szCs w:val="24"/>
          <w:shd w:val="clear" w:color="auto" w:fill="FFFFFF"/>
        </w:rPr>
        <w:t xml:space="preserve"> г. (</w:t>
      </w:r>
      <w:r>
        <w:rPr>
          <w:color w:val="1A1A1A"/>
          <w:sz w:val="24"/>
          <w:szCs w:val="24"/>
          <w:shd w:val="clear" w:color="auto" w:fill="FFFFFF"/>
        </w:rPr>
        <w:t>сведения получены</w:t>
      </w:r>
      <w:r w:rsidRPr="00CF18D0">
        <w:rPr>
          <w:color w:val="1A1A1A"/>
          <w:sz w:val="24"/>
          <w:szCs w:val="24"/>
          <w:shd w:val="clear" w:color="auto" w:fill="FFFFFF"/>
        </w:rPr>
        <w:t xml:space="preserve"> 15.09.2017 г.), составило 25,4 тыс. юр. и физ. лиц, из них микропредприятий – 15,3 тыс. ед., малых – 1,2 тыс. ед., средних – 72 ед., индивидуальных предпринимателей – 8,9 тыс. ед.</w:t>
      </w:r>
    </w:p>
    <w:p w:rsidR="004D3812" w:rsidRPr="00CF18D0" w:rsidRDefault="004D3812" w:rsidP="00A37018">
      <w:pPr>
        <w:pStyle w:val="aff9"/>
        <w:spacing w:before="0" w:line="276" w:lineRule="auto"/>
        <w:ind w:left="0" w:right="0" w:firstLine="709"/>
        <w:jc w:val="both"/>
        <w:rPr>
          <w:color w:val="1A1A1A"/>
          <w:sz w:val="24"/>
          <w:szCs w:val="24"/>
          <w:shd w:val="clear" w:color="auto" w:fill="FFFFFF"/>
        </w:rPr>
      </w:pPr>
      <w:r>
        <w:rPr>
          <w:color w:val="1A1A1A"/>
          <w:sz w:val="24"/>
          <w:szCs w:val="24"/>
          <w:shd w:val="clear" w:color="auto" w:fill="FFFFFF"/>
        </w:rPr>
        <w:t>В</w:t>
      </w:r>
      <w:r w:rsidRPr="00CF18D0">
        <w:rPr>
          <w:color w:val="1A1A1A"/>
          <w:sz w:val="24"/>
          <w:szCs w:val="24"/>
          <w:shd w:val="clear" w:color="auto" w:fill="FFFFFF"/>
        </w:rPr>
        <w:t xml:space="preserve">едение </w:t>
      </w:r>
      <w:r>
        <w:rPr>
          <w:color w:val="1A1A1A"/>
          <w:sz w:val="24"/>
          <w:szCs w:val="24"/>
          <w:shd w:val="clear" w:color="auto" w:fill="FFFFFF"/>
        </w:rPr>
        <w:t>Реестра</w:t>
      </w:r>
      <w:r w:rsidR="00DD748D">
        <w:rPr>
          <w:color w:val="1A1A1A"/>
          <w:sz w:val="24"/>
          <w:szCs w:val="24"/>
          <w:shd w:val="clear" w:color="auto" w:fill="FFFFFF"/>
        </w:rPr>
        <w:t xml:space="preserve">, создание которого предусмотрено </w:t>
      </w:r>
      <w:r w:rsidR="00DD748D" w:rsidRPr="00CF18D0">
        <w:rPr>
          <w:color w:val="1A1A1A"/>
          <w:sz w:val="24"/>
          <w:szCs w:val="24"/>
          <w:shd w:val="clear" w:color="auto" w:fill="FFFFFF"/>
        </w:rPr>
        <w:t>Федеральны</w:t>
      </w:r>
      <w:r w:rsidR="00DD748D">
        <w:rPr>
          <w:color w:val="1A1A1A"/>
          <w:sz w:val="24"/>
          <w:szCs w:val="24"/>
          <w:shd w:val="clear" w:color="auto" w:fill="FFFFFF"/>
        </w:rPr>
        <w:t>м</w:t>
      </w:r>
      <w:r w:rsidR="00DD748D" w:rsidRPr="00CF18D0">
        <w:rPr>
          <w:color w:val="1A1A1A"/>
          <w:sz w:val="24"/>
          <w:szCs w:val="24"/>
          <w:shd w:val="clear" w:color="auto" w:fill="FFFFFF"/>
        </w:rPr>
        <w:t xml:space="preserve"> закон</w:t>
      </w:r>
      <w:r w:rsidR="00DD748D">
        <w:rPr>
          <w:color w:val="1A1A1A"/>
          <w:sz w:val="24"/>
          <w:szCs w:val="24"/>
          <w:shd w:val="clear" w:color="auto" w:fill="FFFFFF"/>
        </w:rPr>
        <w:t>ом</w:t>
      </w:r>
      <w:r w:rsidR="00DD748D" w:rsidRPr="00CF18D0">
        <w:rPr>
          <w:color w:val="1A1A1A"/>
          <w:sz w:val="24"/>
          <w:szCs w:val="24"/>
          <w:shd w:val="clear" w:color="auto" w:fill="FFFFFF"/>
        </w:rPr>
        <w:t xml:space="preserve"> </w:t>
      </w:r>
      <w:r w:rsidR="00DD748D">
        <w:rPr>
          <w:color w:val="1A1A1A"/>
          <w:sz w:val="24"/>
          <w:szCs w:val="24"/>
          <w:shd w:val="clear" w:color="auto" w:fill="FFFFFF"/>
        </w:rPr>
        <w:t xml:space="preserve">от </w:t>
      </w:r>
      <w:r w:rsidR="00DD748D" w:rsidRPr="00CF18D0">
        <w:rPr>
          <w:color w:val="1A1A1A"/>
          <w:sz w:val="24"/>
          <w:szCs w:val="24"/>
          <w:shd w:val="clear" w:color="auto" w:fill="FFFFFF"/>
        </w:rPr>
        <w:t>29 декабря 2015 года № 408-ФЗ</w:t>
      </w:r>
      <w:r w:rsidR="00DD748D">
        <w:rPr>
          <w:color w:val="1A1A1A"/>
          <w:sz w:val="24"/>
          <w:szCs w:val="24"/>
          <w:shd w:val="clear" w:color="auto" w:fill="FFFFFF"/>
        </w:rPr>
        <w:t xml:space="preserve">, </w:t>
      </w:r>
      <w:r w:rsidRPr="00CF18D0">
        <w:rPr>
          <w:color w:val="1A1A1A"/>
          <w:sz w:val="24"/>
          <w:szCs w:val="24"/>
          <w:shd w:val="clear" w:color="auto" w:fill="FFFFFF"/>
        </w:rPr>
        <w:t>осуществляется ФНС России. Реестр впервые сформирован и размещен в свободном доступе на официальном сайте ФНС России 1 августа 2016 года.</w:t>
      </w:r>
    </w:p>
    <w:p w:rsidR="008F34A6" w:rsidRPr="00CF18D0" w:rsidRDefault="004D3812" w:rsidP="008F34A6">
      <w:pPr>
        <w:pStyle w:val="aff9"/>
        <w:spacing w:before="0" w:line="276" w:lineRule="auto"/>
        <w:ind w:left="0" w:right="0" w:firstLine="709"/>
        <w:jc w:val="both"/>
        <w:rPr>
          <w:color w:val="1A1A1A"/>
          <w:sz w:val="24"/>
          <w:szCs w:val="24"/>
          <w:shd w:val="clear" w:color="auto" w:fill="FFFFFF"/>
        </w:rPr>
      </w:pPr>
      <w:r w:rsidRPr="00CF18D0">
        <w:rPr>
          <w:color w:val="1A1A1A"/>
          <w:sz w:val="24"/>
          <w:szCs w:val="24"/>
          <w:shd w:val="clear" w:color="auto" w:fill="FFFFFF"/>
        </w:rPr>
        <w:t>При ведении Реестра предусмотрено ежемесячное (не позднее 10 числа месяца, следующего за месяцем, в котором произошло соответствующее изменение) обновление отдельных сведений</w:t>
      </w:r>
      <w:r w:rsidR="005C4368">
        <w:rPr>
          <w:color w:val="1A1A1A"/>
          <w:sz w:val="24"/>
          <w:szCs w:val="24"/>
          <w:shd w:val="clear" w:color="auto" w:fill="FFFFFF"/>
        </w:rPr>
        <w:t xml:space="preserve"> о СМСП.</w:t>
      </w:r>
      <w:r w:rsidR="008F34A6" w:rsidRPr="008F34A6">
        <w:rPr>
          <w:color w:val="1A1A1A"/>
          <w:sz w:val="24"/>
          <w:szCs w:val="24"/>
          <w:shd w:val="clear" w:color="auto" w:fill="FFFFFF"/>
        </w:rPr>
        <w:t xml:space="preserve"> </w:t>
      </w:r>
      <w:r w:rsidR="008F34A6" w:rsidRPr="00CF18D0">
        <w:rPr>
          <w:color w:val="1A1A1A"/>
          <w:sz w:val="24"/>
          <w:szCs w:val="24"/>
          <w:shd w:val="clear" w:color="auto" w:fill="FFFFFF"/>
        </w:rPr>
        <w:t xml:space="preserve">Данное обновление может послужить причиной резкого изменения количества </w:t>
      </w:r>
      <w:r w:rsidR="008F34A6">
        <w:rPr>
          <w:color w:val="1A1A1A"/>
          <w:sz w:val="24"/>
          <w:szCs w:val="24"/>
          <w:shd w:val="clear" w:color="auto" w:fill="FFFFFF"/>
        </w:rPr>
        <w:t>СМСП</w:t>
      </w:r>
      <w:r w:rsidR="002C45DB">
        <w:rPr>
          <w:color w:val="1A1A1A"/>
          <w:sz w:val="24"/>
          <w:szCs w:val="24"/>
          <w:shd w:val="clear" w:color="auto" w:fill="FFFFFF"/>
        </w:rPr>
        <w:t xml:space="preserve"> (в том числе и за прошедший период).</w:t>
      </w:r>
    </w:p>
    <w:p w:rsidR="004D3812" w:rsidRPr="00CF18D0" w:rsidRDefault="004D3812" w:rsidP="00A37018">
      <w:pPr>
        <w:pStyle w:val="aff9"/>
        <w:spacing w:before="0" w:line="276" w:lineRule="auto"/>
        <w:ind w:left="0" w:right="0" w:firstLine="709"/>
        <w:jc w:val="both"/>
        <w:rPr>
          <w:color w:val="1A1A1A"/>
          <w:sz w:val="24"/>
          <w:szCs w:val="24"/>
          <w:shd w:val="clear" w:color="auto" w:fill="FFFFFF"/>
        </w:rPr>
      </w:pPr>
      <w:r w:rsidRPr="00CF18D0">
        <w:rPr>
          <w:color w:val="1A1A1A"/>
          <w:sz w:val="24"/>
          <w:szCs w:val="24"/>
          <w:shd w:val="clear" w:color="auto" w:fill="FFFFFF"/>
        </w:rPr>
        <w:t>Стоит отметить, что Реестр позволяет сформировать достаточно ограниченную информацию и не предусматривает возможность получения данных о среднесписочной численности и выручке СМСП</w:t>
      </w:r>
      <w:r>
        <w:rPr>
          <w:color w:val="1A1A1A"/>
          <w:sz w:val="24"/>
          <w:szCs w:val="24"/>
          <w:shd w:val="clear" w:color="auto" w:fill="FFFFFF"/>
        </w:rPr>
        <w:t xml:space="preserve"> (обороте</w:t>
      </w:r>
      <w:r w:rsidR="00DD748D">
        <w:rPr>
          <w:color w:val="1A1A1A"/>
          <w:sz w:val="24"/>
          <w:szCs w:val="24"/>
          <w:shd w:val="clear" w:color="auto" w:fill="FFFFFF"/>
        </w:rPr>
        <w:t xml:space="preserve"> СМСП</w:t>
      </w:r>
      <w:r>
        <w:rPr>
          <w:color w:val="1A1A1A"/>
          <w:sz w:val="24"/>
          <w:szCs w:val="24"/>
          <w:shd w:val="clear" w:color="auto" w:fill="FFFFFF"/>
        </w:rPr>
        <w:t>)</w:t>
      </w:r>
      <w:r w:rsidRPr="00CF18D0">
        <w:rPr>
          <w:color w:val="1A1A1A"/>
          <w:sz w:val="24"/>
          <w:szCs w:val="24"/>
          <w:shd w:val="clear" w:color="auto" w:fill="FFFFFF"/>
        </w:rPr>
        <w:t>.</w:t>
      </w:r>
    </w:p>
    <w:p w:rsidR="004D3812" w:rsidRDefault="004D3812" w:rsidP="00A37018">
      <w:pPr>
        <w:pStyle w:val="62"/>
        <w:spacing w:line="276" w:lineRule="auto"/>
        <w:ind w:firstLine="709"/>
        <w:jc w:val="both"/>
        <w:rPr>
          <w:rFonts w:ascii="Times New Roman" w:hAnsi="Times New Roman"/>
          <w:color w:val="1A1A1A"/>
          <w:sz w:val="24"/>
          <w:szCs w:val="24"/>
          <w:shd w:val="clear" w:color="auto" w:fill="FFFFFF"/>
        </w:rPr>
      </w:pPr>
      <w:r w:rsidRPr="00CF18D0">
        <w:rPr>
          <w:rFonts w:ascii="Times New Roman" w:hAnsi="Times New Roman"/>
          <w:color w:val="1A1A1A"/>
          <w:sz w:val="24"/>
          <w:szCs w:val="24"/>
          <w:shd w:val="clear" w:color="auto" w:fill="FFFFFF"/>
        </w:rPr>
        <w:t xml:space="preserve">Наиболее привлекательной для малого и среднего бизнеса остается сфера торговой деятельности (39,8 % от общего числа малых и средних предприятий); на долю  обрабатывающих производств приходится 9,1 %, организаций, занимающихся транспортировкой и хранением – 8,8 %, предприятий строительства - 8,2 %; на остальные виды экономической деятельности – 34,1 %.  </w:t>
      </w:r>
    </w:p>
    <w:p w:rsidR="0005370E" w:rsidRPr="0062396C" w:rsidRDefault="0005370E" w:rsidP="0005370E">
      <w:pPr>
        <w:spacing w:line="276" w:lineRule="auto"/>
        <w:ind w:firstLine="709"/>
        <w:jc w:val="both"/>
        <w:rPr>
          <w:color w:val="1A1A1A"/>
          <w:sz w:val="24"/>
          <w:szCs w:val="24"/>
          <w:shd w:val="clear" w:color="auto" w:fill="FFFFFF"/>
          <w:lang w:eastAsia="ru-RU"/>
        </w:rPr>
      </w:pPr>
      <w:r w:rsidRPr="0062396C">
        <w:rPr>
          <w:color w:val="1A1A1A"/>
          <w:sz w:val="24"/>
          <w:szCs w:val="24"/>
          <w:shd w:val="clear" w:color="auto" w:fill="FFFFFF"/>
          <w:lang w:eastAsia="ru-RU"/>
        </w:rPr>
        <w:t>За 1 полугодие 2017 года в бюджет городского округа Тольятти от СМСП поступило налогов 176,2 млн.руб.</w:t>
      </w:r>
      <w:r w:rsidR="00E153B5">
        <w:rPr>
          <w:color w:val="1A1A1A"/>
          <w:sz w:val="24"/>
          <w:szCs w:val="24"/>
          <w:shd w:val="clear" w:color="auto" w:fill="FFFFFF"/>
          <w:lang w:eastAsia="ru-RU"/>
        </w:rPr>
        <w:t xml:space="preserve">, что </w:t>
      </w:r>
      <w:r w:rsidR="0062396C" w:rsidRPr="0062396C">
        <w:rPr>
          <w:color w:val="1A1A1A"/>
          <w:sz w:val="24"/>
          <w:szCs w:val="24"/>
          <w:shd w:val="clear" w:color="auto" w:fill="FFFFFF"/>
          <w:lang w:eastAsia="ru-RU"/>
        </w:rPr>
        <w:t>на 2,9 % больше 1 полугодия 2016 года</w:t>
      </w:r>
      <w:r w:rsidRPr="0062396C">
        <w:rPr>
          <w:color w:val="1A1A1A"/>
          <w:sz w:val="24"/>
          <w:szCs w:val="24"/>
          <w:shd w:val="clear" w:color="auto" w:fill="FFFFFF"/>
          <w:lang w:eastAsia="ru-RU"/>
        </w:rPr>
        <w:t>, в том числе единый налог на вмененный доход – 163,9 млн.руб.</w:t>
      </w:r>
      <w:r w:rsidR="0062396C" w:rsidRPr="0062396C">
        <w:rPr>
          <w:color w:val="1A1A1A"/>
          <w:sz w:val="24"/>
          <w:szCs w:val="24"/>
          <w:shd w:val="clear" w:color="auto" w:fill="FFFFFF"/>
          <w:lang w:eastAsia="ru-RU"/>
        </w:rPr>
        <w:t xml:space="preserve"> (на 1,4 % больше)</w:t>
      </w:r>
      <w:r w:rsidRPr="0062396C">
        <w:rPr>
          <w:color w:val="1A1A1A"/>
          <w:sz w:val="24"/>
          <w:szCs w:val="24"/>
          <w:shd w:val="clear" w:color="auto" w:fill="FFFFFF"/>
          <w:lang w:eastAsia="ru-RU"/>
        </w:rPr>
        <w:t xml:space="preserve">, </w:t>
      </w:r>
      <w:r w:rsidR="00053D89" w:rsidRPr="0062396C">
        <w:rPr>
          <w:color w:val="1A1A1A"/>
          <w:sz w:val="24"/>
          <w:szCs w:val="24"/>
          <w:shd w:val="clear" w:color="auto" w:fill="FFFFFF"/>
          <w:lang w:eastAsia="ru-RU"/>
        </w:rPr>
        <w:t>налог на доходы физических лиц</w:t>
      </w:r>
      <w:r w:rsidRPr="0062396C">
        <w:rPr>
          <w:color w:val="1A1A1A"/>
          <w:sz w:val="24"/>
          <w:szCs w:val="24"/>
          <w:shd w:val="clear" w:color="auto" w:fill="FFFFFF"/>
          <w:lang w:eastAsia="ru-RU"/>
        </w:rPr>
        <w:t>, занимающихся предпринимательской деятельностью, - 5,2 млн. руб.</w:t>
      </w:r>
      <w:r w:rsidR="0062396C" w:rsidRPr="0062396C">
        <w:rPr>
          <w:color w:val="1A1A1A"/>
          <w:sz w:val="24"/>
          <w:szCs w:val="24"/>
          <w:shd w:val="clear" w:color="auto" w:fill="FFFFFF"/>
          <w:lang w:eastAsia="ru-RU"/>
        </w:rPr>
        <w:t xml:space="preserve"> (на 19,2 % меньше)</w:t>
      </w:r>
      <w:r w:rsidRPr="0062396C">
        <w:rPr>
          <w:color w:val="1A1A1A"/>
          <w:sz w:val="24"/>
          <w:szCs w:val="24"/>
          <w:shd w:val="clear" w:color="auto" w:fill="FFFFFF"/>
          <w:lang w:eastAsia="ru-RU"/>
        </w:rPr>
        <w:t xml:space="preserve">, </w:t>
      </w:r>
      <w:r w:rsidR="00053D89" w:rsidRPr="0062396C">
        <w:rPr>
          <w:color w:val="1A1A1A"/>
          <w:sz w:val="24"/>
          <w:szCs w:val="24"/>
          <w:shd w:val="clear" w:color="auto" w:fill="FFFFFF"/>
          <w:lang w:eastAsia="ru-RU"/>
        </w:rPr>
        <w:t>патентная система</w:t>
      </w:r>
      <w:r w:rsidRPr="0062396C">
        <w:rPr>
          <w:color w:val="1A1A1A"/>
          <w:sz w:val="24"/>
          <w:szCs w:val="24"/>
          <w:shd w:val="clear" w:color="auto" w:fill="FFFFFF"/>
          <w:lang w:eastAsia="ru-RU"/>
        </w:rPr>
        <w:t xml:space="preserve"> </w:t>
      </w:r>
      <w:r w:rsidR="0062396C">
        <w:rPr>
          <w:color w:val="1A1A1A"/>
          <w:sz w:val="24"/>
          <w:szCs w:val="24"/>
          <w:shd w:val="clear" w:color="auto" w:fill="FFFFFF"/>
          <w:lang w:eastAsia="ru-RU"/>
        </w:rPr>
        <w:t>налогообл</w:t>
      </w:r>
      <w:r w:rsidR="00E153B5">
        <w:rPr>
          <w:color w:val="1A1A1A"/>
          <w:sz w:val="24"/>
          <w:szCs w:val="24"/>
          <w:shd w:val="clear" w:color="auto" w:fill="FFFFFF"/>
          <w:lang w:eastAsia="ru-RU"/>
        </w:rPr>
        <w:t>о</w:t>
      </w:r>
      <w:r w:rsidR="0062396C">
        <w:rPr>
          <w:color w:val="1A1A1A"/>
          <w:sz w:val="24"/>
          <w:szCs w:val="24"/>
          <w:shd w:val="clear" w:color="auto" w:fill="FFFFFF"/>
          <w:lang w:eastAsia="ru-RU"/>
        </w:rPr>
        <w:t xml:space="preserve">жения </w:t>
      </w:r>
      <w:r w:rsidRPr="0062396C">
        <w:rPr>
          <w:color w:val="1A1A1A"/>
          <w:sz w:val="24"/>
          <w:szCs w:val="24"/>
          <w:shd w:val="clear" w:color="auto" w:fill="FFFFFF"/>
          <w:lang w:eastAsia="ru-RU"/>
        </w:rPr>
        <w:t>– 7,1 млн.руб.</w:t>
      </w:r>
      <w:r w:rsidR="0062396C" w:rsidRPr="0062396C">
        <w:rPr>
          <w:color w:val="1A1A1A"/>
          <w:sz w:val="24"/>
          <w:szCs w:val="24"/>
          <w:shd w:val="clear" w:color="auto" w:fill="FFFFFF"/>
          <w:lang w:eastAsia="ru-RU"/>
        </w:rPr>
        <w:t xml:space="preserve"> (в 2,3 раза больше).</w:t>
      </w:r>
    </w:p>
    <w:p w:rsidR="004D3812" w:rsidRPr="00CF18D0" w:rsidRDefault="004D3812" w:rsidP="00A37018">
      <w:pPr>
        <w:pStyle w:val="62"/>
        <w:spacing w:line="276" w:lineRule="auto"/>
        <w:ind w:firstLine="709"/>
        <w:jc w:val="both"/>
        <w:rPr>
          <w:rFonts w:ascii="Times New Roman" w:hAnsi="Times New Roman"/>
          <w:color w:val="1A1A1A"/>
          <w:sz w:val="24"/>
          <w:szCs w:val="24"/>
          <w:shd w:val="clear" w:color="auto" w:fill="FFFFFF"/>
        </w:rPr>
      </w:pPr>
      <w:r w:rsidRPr="00CF18D0">
        <w:rPr>
          <w:rFonts w:ascii="Times New Roman" w:hAnsi="Times New Roman"/>
          <w:color w:val="1A1A1A"/>
          <w:sz w:val="24"/>
          <w:szCs w:val="24"/>
          <w:shd w:val="clear" w:color="auto" w:fill="FFFFFF"/>
        </w:rPr>
        <w:t>Развитие предпринимательства является одним из приоритетных направлений социально-экономической политики городского округа Тольятти.</w:t>
      </w:r>
      <w:r>
        <w:rPr>
          <w:rFonts w:ascii="Times New Roman" w:hAnsi="Times New Roman"/>
          <w:color w:val="1A1A1A"/>
          <w:sz w:val="24"/>
          <w:szCs w:val="24"/>
          <w:shd w:val="clear" w:color="auto" w:fill="FFFFFF"/>
        </w:rPr>
        <w:t xml:space="preserve"> </w:t>
      </w:r>
      <w:r w:rsidRPr="00CF18D0">
        <w:rPr>
          <w:rFonts w:ascii="Times New Roman" w:hAnsi="Times New Roman"/>
          <w:color w:val="1A1A1A"/>
          <w:sz w:val="24"/>
          <w:szCs w:val="24"/>
          <w:shd w:val="clear" w:color="auto" w:fill="FFFFFF"/>
        </w:rPr>
        <w:t>Поддержка малого</w:t>
      </w:r>
      <w:r>
        <w:rPr>
          <w:rFonts w:ascii="Times New Roman" w:hAnsi="Times New Roman"/>
          <w:color w:val="1A1A1A"/>
          <w:sz w:val="24"/>
          <w:szCs w:val="24"/>
          <w:shd w:val="clear" w:color="auto" w:fill="FFFFFF"/>
        </w:rPr>
        <w:t xml:space="preserve"> и среднего</w:t>
      </w:r>
      <w:r w:rsidRPr="00CF18D0">
        <w:rPr>
          <w:rFonts w:ascii="Times New Roman" w:hAnsi="Times New Roman"/>
          <w:color w:val="1A1A1A"/>
          <w:sz w:val="24"/>
          <w:szCs w:val="24"/>
          <w:shd w:val="clear" w:color="auto" w:fill="FFFFFF"/>
        </w:rPr>
        <w:t xml:space="preserve"> предпринимательства  включает в себя, прежде всего, развитие инфраструктуры малого бизнеса, которая, в свою очередь, способствует оказанию хозяйствующим субъектам финансовой, имущественной, информационной и консультационной помощи.</w:t>
      </w:r>
    </w:p>
    <w:p w:rsidR="00070DA2" w:rsidRPr="00CF18D0"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CF18D0">
        <w:rPr>
          <w:rFonts w:ascii="Times New Roman" w:hAnsi="Times New Roman"/>
          <w:color w:val="1A1A1A"/>
          <w:sz w:val="24"/>
          <w:szCs w:val="24"/>
          <w:shd w:val="clear" w:color="auto" w:fill="FFFFFF"/>
        </w:rPr>
        <w:t>На территории городского округа реализуется муниципальная программа городского округа Тольятти «Развитие малого и среднего предпринимательства городского округа Тольятти на 2014-2017 годы» (далее по разделу – Программа), в рамках которой осуществляется финансовая, имущественная, информационная и консультационная помощь как вновь созданным, так и уже действующим СМСП.</w:t>
      </w:r>
    </w:p>
    <w:p w:rsidR="00070DA2" w:rsidRPr="00CF18D0"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0E44">
        <w:rPr>
          <w:rFonts w:ascii="Times New Roman" w:hAnsi="Times New Roman"/>
          <w:color w:val="1A1A1A"/>
          <w:sz w:val="24"/>
          <w:szCs w:val="24"/>
          <w:shd w:val="clear" w:color="auto" w:fill="FFFFFF"/>
        </w:rPr>
        <w:t>Объем финансирования Программы на 2017 год составляет 40 857,2  тыс. руб., из них: 20 208,2 тыс. руб. – средства местного бюджета; 11 770,0 тыс. руб. – средства областного бюджета; 8 879,0 тыс. руб. – средства федерального бюджета.</w:t>
      </w:r>
    </w:p>
    <w:p w:rsidR="00070DA2" w:rsidRPr="00CF18D0"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CF18D0">
        <w:rPr>
          <w:rFonts w:ascii="Times New Roman" w:hAnsi="Times New Roman"/>
          <w:color w:val="1A1A1A"/>
          <w:sz w:val="24"/>
          <w:szCs w:val="24"/>
          <w:shd w:val="clear" w:color="auto" w:fill="FFFFFF"/>
        </w:rPr>
        <w:t>Объем и источники финансирования Программы уточняются в течение года по мере поступления денежных средств. Наименования мероприятий и целевые показатели также будут уточняться.</w:t>
      </w:r>
    </w:p>
    <w:p w:rsidR="00070DA2" w:rsidRPr="00CF18D0"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070DA2">
        <w:rPr>
          <w:rFonts w:ascii="Times New Roman" w:hAnsi="Times New Roman"/>
          <w:color w:val="1A1A1A"/>
          <w:sz w:val="24"/>
          <w:szCs w:val="24"/>
          <w:shd w:val="clear" w:color="auto" w:fill="FFFFFF"/>
        </w:rPr>
        <w:t>На 30.09.2017 года Муниципальным фондом  поддержки и развития субъектов малого и среднего предпринимательства микрокредитная компания городского округа Тольятти выдано 16 займов на сумму 14 480,0 тыс. рублей. Целевые</w:t>
      </w:r>
      <w:r w:rsidRPr="00CF18D0">
        <w:rPr>
          <w:rFonts w:ascii="Times New Roman" w:hAnsi="Times New Roman"/>
          <w:color w:val="1A1A1A"/>
          <w:sz w:val="24"/>
          <w:szCs w:val="24"/>
          <w:shd w:val="clear" w:color="auto" w:fill="FFFFFF"/>
        </w:rPr>
        <w:t xml:space="preserve"> займы предоставляются сроком до 2 лет, сумма займа до 1 000,0 тыс. рублей, процентная ставка 10 % годовых. </w:t>
      </w:r>
    </w:p>
    <w:p w:rsidR="00070DA2" w:rsidRPr="00CF18D0"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070DA2">
        <w:rPr>
          <w:rFonts w:ascii="Times New Roman" w:hAnsi="Times New Roman"/>
          <w:color w:val="1A1A1A"/>
          <w:sz w:val="24"/>
          <w:szCs w:val="24"/>
          <w:shd w:val="clear" w:color="auto" w:fill="FFFFFF"/>
        </w:rPr>
        <w:t>В целях развития инфраструктуры поддержки СМСП по состоянию на 30.09.2017 г. на территории  бизнес-инкубатора Тольятти  работает 39 компаний-резидентов. Количество рабочих мест, созданных резидентами – 156 ед., сумма</w:t>
      </w:r>
      <w:r w:rsidRPr="00A60E44">
        <w:rPr>
          <w:rFonts w:ascii="Times New Roman" w:hAnsi="Times New Roman"/>
          <w:color w:val="1A1A1A"/>
          <w:sz w:val="24"/>
          <w:szCs w:val="24"/>
          <w:shd w:val="clear" w:color="auto" w:fill="FFFFFF"/>
        </w:rPr>
        <w:t xml:space="preserve"> выручки резидентов за январь-июнь 2017 года составила 58 590,4 тыс. руб.</w:t>
      </w:r>
    </w:p>
    <w:p w:rsidR="00070DA2" w:rsidRPr="003F74A7" w:rsidRDefault="00070DA2" w:rsidP="00A37018">
      <w:pPr>
        <w:pStyle w:val="62"/>
        <w:spacing w:line="276" w:lineRule="auto"/>
        <w:ind w:firstLine="709"/>
        <w:jc w:val="both"/>
        <w:rPr>
          <w:rFonts w:ascii="Times New Roman" w:hAnsi="Times New Roman"/>
          <w:sz w:val="24"/>
          <w:szCs w:val="24"/>
          <w:shd w:val="clear" w:color="auto" w:fill="FFFFFF"/>
        </w:rPr>
      </w:pPr>
      <w:r w:rsidRPr="00CF18D0">
        <w:rPr>
          <w:rFonts w:ascii="Times New Roman" w:hAnsi="Times New Roman"/>
          <w:color w:val="1A1A1A"/>
          <w:sz w:val="24"/>
          <w:szCs w:val="24"/>
          <w:shd w:val="clear" w:color="auto" w:fill="FFFFFF"/>
        </w:rPr>
        <w:t>Помимо этого, СМСП оказывается информационная и консультационная поддержка предпринимателей и лиц</w:t>
      </w:r>
      <w:r>
        <w:rPr>
          <w:rFonts w:ascii="Times New Roman" w:hAnsi="Times New Roman"/>
          <w:color w:val="1A1A1A"/>
          <w:sz w:val="24"/>
          <w:szCs w:val="24"/>
          <w:shd w:val="clear" w:color="auto" w:fill="FFFFFF"/>
        </w:rPr>
        <w:t>,</w:t>
      </w:r>
      <w:r w:rsidRPr="00CF18D0">
        <w:rPr>
          <w:rFonts w:ascii="Times New Roman" w:hAnsi="Times New Roman"/>
          <w:color w:val="1A1A1A"/>
          <w:sz w:val="24"/>
          <w:szCs w:val="24"/>
          <w:shd w:val="clear" w:color="auto" w:fill="FFFFFF"/>
        </w:rPr>
        <w:t xml:space="preserve"> </w:t>
      </w:r>
      <w:r w:rsidRPr="003F74A7">
        <w:rPr>
          <w:rFonts w:ascii="Times New Roman" w:hAnsi="Times New Roman"/>
          <w:sz w:val="24"/>
          <w:szCs w:val="24"/>
          <w:shd w:val="clear" w:color="auto" w:fill="FFFFFF"/>
        </w:rPr>
        <w:t>планирующих заниматься предпринимательской деятельностью</w:t>
      </w:r>
      <w:r w:rsidRPr="00070DA2">
        <w:rPr>
          <w:rFonts w:ascii="Times New Roman" w:hAnsi="Times New Roman"/>
          <w:sz w:val="24"/>
          <w:szCs w:val="24"/>
          <w:shd w:val="clear" w:color="auto" w:fill="FFFFFF"/>
        </w:rPr>
        <w:t>. За отчетный период на территории бизнес-инкубатора Тольятти проведено 66 индивидуальных консультаций по бухгалтерскому учету и налогообложению для предпринимателей и 11 индивидуальных консультаций по инфраструктуре поддержки предпринимательства Самарской области. 169 СМСП приняли участие в групповых консультациях по вопросам формирования годовой отчетности с учетам рекомендаций Министерства Финансов РФ.</w:t>
      </w:r>
      <w:r w:rsidRPr="003F74A7">
        <w:rPr>
          <w:rFonts w:ascii="Times New Roman" w:hAnsi="Times New Roman"/>
          <w:sz w:val="24"/>
          <w:szCs w:val="24"/>
          <w:shd w:val="clear" w:color="auto" w:fill="FFFFFF"/>
        </w:rPr>
        <w:t xml:space="preserve"> </w:t>
      </w:r>
    </w:p>
    <w:p w:rsidR="00070DA2"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0E44">
        <w:rPr>
          <w:rFonts w:ascii="Times New Roman" w:hAnsi="Times New Roman"/>
          <w:color w:val="1A1A1A"/>
          <w:sz w:val="24"/>
          <w:szCs w:val="24"/>
        </w:rPr>
        <w:t>До конца 2017 года запланировано проведение 50 консультаций по бухгалтерскому учету и налогообложению, консультационного семинара по изменениям в налогообложении на 2018 год с планируемым количеством слушателей 150-200 человек. Всего планируется оказать 390 консультационных услуг.</w:t>
      </w:r>
    </w:p>
    <w:p w:rsidR="00070DA2" w:rsidRPr="00E90DF6"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E90DF6">
        <w:rPr>
          <w:rFonts w:ascii="Times New Roman" w:hAnsi="Times New Roman"/>
          <w:color w:val="1A1A1A"/>
          <w:sz w:val="24"/>
          <w:szCs w:val="24"/>
          <w:shd w:val="clear" w:color="auto" w:fill="FFFFFF"/>
        </w:rPr>
        <w:t>Кроме того, ведется работа по предоставлению в аренду, безвозмездное пользование объектов муниципального имущества, включенных в Перечень муниципального имущества городского округа Тольятти, предназначенного для предоставления во владение и (или) в пользование СМСП и организациям, образующим инфраструктуру поддержки СМСП.</w:t>
      </w:r>
    </w:p>
    <w:p w:rsidR="00070DA2" w:rsidRPr="00E90DF6"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E90DF6">
        <w:rPr>
          <w:rFonts w:ascii="Times New Roman" w:hAnsi="Times New Roman"/>
          <w:color w:val="1A1A1A"/>
          <w:sz w:val="24"/>
          <w:szCs w:val="24"/>
          <w:shd w:val="clear" w:color="auto" w:fill="FFFFFF"/>
        </w:rPr>
        <w:t>С 12 ноября 2016 года в городском округе Тольятти внедрена процедура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городского округа Тольятти, затрагивающие вопросы осуществления предпринимательской и инвестиционной деятельности.</w:t>
      </w:r>
    </w:p>
    <w:p w:rsidR="00070DA2" w:rsidRPr="00070DA2"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070DA2">
        <w:rPr>
          <w:rFonts w:ascii="Times New Roman" w:hAnsi="Times New Roman"/>
          <w:color w:val="1A1A1A"/>
          <w:sz w:val="24"/>
          <w:szCs w:val="24"/>
          <w:shd w:val="clear" w:color="auto" w:fill="FFFFFF"/>
        </w:rPr>
        <w:t xml:space="preserve">По состоянию на 30.09.2017 рассмотрено 610 муниципальных нормативных правовых актов (проекта), подготовлено 75 заключений об оценке регулирующего воздействия проектов муниципальных нормативных правовых актов городского округа Тольятти. </w:t>
      </w:r>
    </w:p>
    <w:p w:rsidR="00070DA2" w:rsidRPr="00A6138D"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138D">
        <w:rPr>
          <w:rFonts w:ascii="Times New Roman" w:hAnsi="Times New Roman"/>
          <w:color w:val="1A1A1A"/>
          <w:sz w:val="24"/>
          <w:szCs w:val="24"/>
          <w:shd w:val="clear" w:color="auto" w:fill="FFFFFF"/>
        </w:rPr>
        <w:t>В целях выявления положений, необоснованно затрудняющих осуществление предпринимательской и инвестиционной деятельности, проведена экспертиза следующих нормативных правовых актов:</w:t>
      </w:r>
    </w:p>
    <w:p w:rsidR="00070DA2" w:rsidRPr="00A6138D"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138D">
        <w:rPr>
          <w:rFonts w:ascii="Times New Roman" w:hAnsi="Times New Roman"/>
          <w:color w:val="1A1A1A"/>
          <w:sz w:val="24"/>
          <w:szCs w:val="24"/>
          <w:shd w:val="clear" w:color="auto" w:fill="FFFFFF"/>
        </w:rPr>
        <w:t>- Постановления мэрии городского округа Тольятти от 03.06.2009 №1275-п/1 «Об утверждении порядка производства земляных работ»;</w:t>
      </w:r>
    </w:p>
    <w:p w:rsidR="00070DA2" w:rsidRPr="00A6138D"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138D">
        <w:rPr>
          <w:rFonts w:ascii="Times New Roman" w:hAnsi="Times New Roman"/>
          <w:color w:val="1A1A1A"/>
          <w:sz w:val="24"/>
          <w:szCs w:val="24"/>
          <w:shd w:val="clear" w:color="auto" w:fill="FFFFFF"/>
        </w:rPr>
        <w:t xml:space="preserve">- Решения Думы городского округа Тольятти от 16.03.2011 №492 «О Положении о порядке передачи в безвозмездное пользование, аренду и субаренду имущества, являющегося муниципальной собственностью городского округа Тольятти». </w:t>
      </w:r>
    </w:p>
    <w:p w:rsidR="00070DA2"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A6138D">
        <w:rPr>
          <w:rFonts w:ascii="Times New Roman" w:hAnsi="Times New Roman"/>
          <w:color w:val="1A1A1A"/>
          <w:sz w:val="24"/>
          <w:szCs w:val="24"/>
          <w:shd w:val="clear" w:color="auto" w:fill="FFFFFF"/>
        </w:rPr>
        <w:t>При проведении экспертизы данных нормативных правовых актов положений, необоснованно затрудняющих осуществление предпринимательской и инвестиционной деятельности, не выявлено.</w:t>
      </w:r>
      <w:r>
        <w:rPr>
          <w:rFonts w:ascii="Times New Roman" w:hAnsi="Times New Roman"/>
          <w:color w:val="1A1A1A"/>
          <w:sz w:val="24"/>
          <w:szCs w:val="24"/>
          <w:shd w:val="clear" w:color="auto" w:fill="FFFFFF"/>
        </w:rPr>
        <w:t xml:space="preserve"> </w:t>
      </w:r>
    </w:p>
    <w:p w:rsidR="00070DA2" w:rsidRPr="00E90DF6" w:rsidRDefault="00070DA2" w:rsidP="00A37018">
      <w:pPr>
        <w:pStyle w:val="62"/>
        <w:spacing w:line="276" w:lineRule="auto"/>
        <w:ind w:firstLine="709"/>
        <w:jc w:val="both"/>
        <w:rPr>
          <w:rFonts w:ascii="Times New Roman" w:hAnsi="Times New Roman"/>
          <w:color w:val="1A1A1A"/>
          <w:sz w:val="24"/>
          <w:szCs w:val="24"/>
          <w:shd w:val="clear" w:color="auto" w:fill="FFFFFF"/>
        </w:rPr>
      </w:pPr>
      <w:r w:rsidRPr="00E90DF6">
        <w:rPr>
          <w:rFonts w:ascii="Times New Roman" w:hAnsi="Times New Roman"/>
          <w:color w:val="1A1A1A"/>
          <w:sz w:val="24"/>
          <w:szCs w:val="24"/>
          <w:shd w:val="clear" w:color="auto" w:fill="FFFFFF"/>
        </w:rPr>
        <w:t>С целью развития малого и среднего инновационного предпринимательства, повышения инвестиционной привлекательности, формирования благоприятной бизнес-среды в городском округе Тольятти продолжается развитие Технопарка в сфере высоких технологий «Жигулевская долина</w:t>
      </w:r>
      <w:r w:rsidRPr="003E6A5D">
        <w:rPr>
          <w:rFonts w:ascii="Times New Roman" w:hAnsi="Times New Roman"/>
          <w:color w:val="1A1A1A"/>
          <w:sz w:val="24"/>
          <w:szCs w:val="24"/>
          <w:shd w:val="clear" w:color="auto" w:fill="FFFFFF"/>
        </w:rPr>
        <w:t xml:space="preserve">». </w:t>
      </w:r>
    </w:p>
    <w:p w:rsidR="00093E1E" w:rsidRPr="00452BCC" w:rsidRDefault="00093E1E" w:rsidP="00093E1E">
      <w:pPr>
        <w:pStyle w:val="aff1"/>
        <w:spacing w:line="276" w:lineRule="auto"/>
        <w:rPr>
          <w:sz w:val="24"/>
          <w:szCs w:val="24"/>
        </w:rPr>
      </w:pPr>
      <w:r w:rsidRPr="00093E1E">
        <w:rPr>
          <w:sz w:val="24"/>
          <w:szCs w:val="24"/>
        </w:rPr>
        <w:t>Препятствиями на пути развития малого и среднего предпринимательства в городском округе Тольятти являются: недостаточный уровень профессиональной подготовки кадров и организаторов предпринимательской деятельности, информированности о мерах поддержки предпринимателей, отсутствие у начинающих предпринимателей необходимых финансовых ресурсов для организации и развития собственного дела, большая налоговая нагрузка на малый и средний бизнес, что является одним из основных факторов ухода предпринимателей в “теневой” сектор экономики; высокие тарифы на электро, тепло, газоснабжение, административные барьеры при подключении объектов к инженерным сетям и др.</w:t>
      </w:r>
      <w:r w:rsidRPr="00452BCC">
        <w:rPr>
          <w:sz w:val="24"/>
          <w:szCs w:val="24"/>
        </w:rPr>
        <w:t xml:space="preserve"> </w:t>
      </w:r>
    </w:p>
    <w:p w:rsidR="005A34F1" w:rsidRDefault="005A34F1" w:rsidP="00AD29B1">
      <w:pPr>
        <w:spacing w:line="276" w:lineRule="auto"/>
        <w:jc w:val="center"/>
        <w:rPr>
          <w:b/>
          <w:sz w:val="24"/>
          <w:szCs w:val="24"/>
        </w:rPr>
      </w:pPr>
    </w:p>
    <w:p w:rsidR="00A50BA4" w:rsidRPr="005F2A7C" w:rsidRDefault="00A50BA4" w:rsidP="00AD29B1">
      <w:pPr>
        <w:spacing w:line="276" w:lineRule="auto"/>
        <w:jc w:val="center"/>
        <w:rPr>
          <w:b/>
          <w:sz w:val="24"/>
          <w:szCs w:val="24"/>
        </w:rPr>
      </w:pPr>
      <w:r w:rsidRPr="005F2A7C">
        <w:rPr>
          <w:b/>
          <w:sz w:val="24"/>
          <w:szCs w:val="24"/>
        </w:rPr>
        <w:t>Инвестиции в основной капитал</w:t>
      </w:r>
    </w:p>
    <w:p w:rsidR="00A50BA4" w:rsidRPr="005A34F1" w:rsidRDefault="00A50BA4" w:rsidP="00A423B6">
      <w:pPr>
        <w:spacing w:line="276" w:lineRule="auto"/>
        <w:ind w:firstLine="709"/>
        <w:jc w:val="center"/>
        <w:rPr>
          <w:b/>
          <w:sz w:val="24"/>
          <w:szCs w:val="24"/>
          <w:highlight w:val="yellow"/>
        </w:rPr>
      </w:pPr>
    </w:p>
    <w:p w:rsidR="00A37018" w:rsidRDefault="001D6AFD" w:rsidP="001D6AFD">
      <w:pPr>
        <w:pStyle w:val="aff1"/>
        <w:spacing w:line="276" w:lineRule="auto"/>
        <w:rPr>
          <w:sz w:val="24"/>
          <w:szCs w:val="24"/>
        </w:rPr>
      </w:pPr>
      <w:r w:rsidRPr="004168B6">
        <w:rPr>
          <w:sz w:val="24"/>
          <w:szCs w:val="24"/>
        </w:rPr>
        <w:t xml:space="preserve">В 1 полугодии 2017 года на развитие экономики и социальной сферы за счет всех источников финансирования </w:t>
      </w:r>
      <w:r w:rsidR="00D53F15">
        <w:rPr>
          <w:sz w:val="24"/>
          <w:szCs w:val="24"/>
        </w:rPr>
        <w:t xml:space="preserve">организациями городского округа Тольятти, не относящимися к субъектам малого </w:t>
      </w:r>
      <w:r w:rsidR="008A7DBA">
        <w:rPr>
          <w:sz w:val="24"/>
          <w:szCs w:val="24"/>
        </w:rPr>
        <w:t xml:space="preserve">предпринимательства, </w:t>
      </w:r>
      <w:r w:rsidR="008A7DBA" w:rsidRPr="004168B6">
        <w:rPr>
          <w:sz w:val="24"/>
          <w:szCs w:val="24"/>
        </w:rPr>
        <w:t>освоено</w:t>
      </w:r>
      <w:r w:rsidRPr="004168B6">
        <w:rPr>
          <w:sz w:val="24"/>
          <w:szCs w:val="24"/>
        </w:rPr>
        <w:t xml:space="preserve"> 10 247,1 млн. руб. инвестиций в основной капитал, что меньше, чем в 1 полугодии 2016 года на 16,5 % в действующих ценах. </w:t>
      </w:r>
    </w:p>
    <w:p w:rsidR="001D6AFD" w:rsidRPr="004168B6" w:rsidRDefault="001D6AFD" w:rsidP="001D6AFD">
      <w:pPr>
        <w:pStyle w:val="aff1"/>
        <w:spacing w:line="276" w:lineRule="auto"/>
        <w:rPr>
          <w:sz w:val="24"/>
          <w:szCs w:val="24"/>
        </w:rPr>
      </w:pPr>
      <w:r w:rsidRPr="004168B6">
        <w:rPr>
          <w:sz w:val="24"/>
          <w:szCs w:val="24"/>
        </w:rPr>
        <w:t>Доля Тольятти в общем объеме инвестиций в основной капитал по Самарской области составила 14 % (2 место</w:t>
      </w:r>
      <w:r w:rsidR="00945999">
        <w:rPr>
          <w:sz w:val="24"/>
          <w:szCs w:val="24"/>
        </w:rPr>
        <w:t xml:space="preserve"> по объемам</w:t>
      </w:r>
      <w:r w:rsidRPr="004168B6">
        <w:rPr>
          <w:sz w:val="24"/>
          <w:szCs w:val="24"/>
        </w:rPr>
        <w:t>, 1 место – Самара).</w:t>
      </w:r>
      <w:r w:rsidR="00945999">
        <w:rPr>
          <w:sz w:val="24"/>
          <w:szCs w:val="24"/>
        </w:rPr>
        <w:t xml:space="preserve"> При этом по объемам инвестиций на душу населения среди городских округов Самарской области Тольятти занял 6 место.</w:t>
      </w:r>
    </w:p>
    <w:p w:rsidR="001D6AFD" w:rsidRDefault="001D6AFD" w:rsidP="001D6AFD">
      <w:pPr>
        <w:pStyle w:val="aff1"/>
        <w:spacing w:line="276" w:lineRule="auto"/>
        <w:rPr>
          <w:sz w:val="24"/>
          <w:szCs w:val="24"/>
        </w:rPr>
      </w:pPr>
      <w:r w:rsidRPr="004168B6">
        <w:rPr>
          <w:sz w:val="24"/>
          <w:szCs w:val="24"/>
        </w:rPr>
        <w:t>Основную долю в видовой структуре инвестиций в основной капитал занимают приобретение машин</w:t>
      </w:r>
      <w:r w:rsidR="005A0746">
        <w:rPr>
          <w:sz w:val="24"/>
          <w:szCs w:val="24"/>
        </w:rPr>
        <w:t xml:space="preserve"> и</w:t>
      </w:r>
      <w:r w:rsidRPr="004168B6">
        <w:rPr>
          <w:sz w:val="24"/>
          <w:szCs w:val="24"/>
        </w:rPr>
        <w:t xml:space="preserve"> </w:t>
      </w:r>
      <w:r w:rsidRPr="005A0746">
        <w:rPr>
          <w:sz w:val="24"/>
          <w:szCs w:val="24"/>
        </w:rPr>
        <w:t>оборудования (55,8 %</w:t>
      </w:r>
      <w:r w:rsidRPr="004168B6">
        <w:rPr>
          <w:sz w:val="24"/>
          <w:szCs w:val="24"/>
        </w:rPr>
        <w:t xml:space="preserve"> от общего объема инвестиций)</w:t>
      </w:r>
      <w:r>
        <w:rPr>
          <w:sz w:val="24"/>
          <w:szCs w:val="24"/>
        </w:rPr>
        <w:t>; инвестиции в</w:t>
      </w:r>
      <w:r w:rsidRPr="004168B6">
        <w:rPr>
          <w:sz w:val="24"/>
          <w:szCs w:val="24"/>
        </w:rPr>
        <w:t xml:space="preserve"> здания (кроме жилых), сооружения, расходы на улучшение </w:t>
      </w:r>
      <w:r w:rsidRPr="005A0746">
        <w:rPr>
          <w:sz w:val="24"/>
          <w:szCs w:val="24"/>
        </w:rPr>
        <w:t>земель (32,8 %)</w:t>
      </w:r>
      <w:r w:rsidR="005A0746">
        <w:rPr>
          <w:sz w:val="24"/>
          <w:szCs w:val="24"/>
        </w:rPr>
        <w:t>, объекты интеллектуальной собственности (10,9 %), прочие инвестиции (0,5 %)</w:t>
      </w:r>
      <w:r w:rsidRPr="005A0746">
        <w:rPr>
          <w:sz w:val="24"/>
          <w:szCs w:val="24"/>
        </w:rPr>
        <w:t>.</w:t>
      </w:r>
      <w:r>
        <w:rPr>
          <w:sz w:val="24"/>
          <w:szCs w:val="24"/>
        </w:rPr>
        <w:t xml:space="preserve"> </w:t>
      </w:r>
    </w:p>
    <w:p w:rsidR="001D6AFD" w:rsidRDefault="001D6AFD" w:rsidP="001D6AFD">
      <w:pPr>
        <w:pStyle w:val="aff1"/>
        <w:spacing w:line="276" w:lineRule="auto"/>
        <w:rPr>
          <w:sz w:val="24"/>
          <w:szCs w:val="24"/>
        </w:rPr>
      </w:pPr>
      <w:r w:rsidRPr="004168B6">
        <w:rPr>
          <w:sz w:val="24"/>
          <w:szCs w:val="24"/>
        </w:rPr>
        <w:t xml:space="preserve">Основной источник финансирования инвестиций в 1 полугодии 2017 года – собственные средства предприятий и организаций, их доля в отчетном периоде составила 71,3 %  от общего объема инвестиций (в </w:t>
      </w:r>
      <w:r>
        <w:rPr>
          <w:sz w:val="24"/>
          <w:szCs w:val="24"/>
        </w:rPr>
        <w:t>2016 году</w:t>
      </w:r>
      <w:r w:rsidRPr="004168B6">
        <w:rPr>
          <w:sz w:val="24"/>
          <w:szCs w:val="24"/>
        </w:rPr>
        <w:t xml:space="preserve"> – 6</w:t>
      </w:r>
      <w:r>
        <w:rPr>
          <w:sz w:val="24"/>
          <w:szCs w:val="24"/>
        </w:rPr>
        <w:t>5,4</w:t>
      </w:r>
      <w:r w:rsidRPr="004168B6">
        <w:rPr>
          <w:sz w:val="24"/>
          <w:szCs w:val="24"/>
        </w:rPr>
        <w:t xml:space="preserve"> %). За счет привлеченных средств освоено 28,7 %  инвестиций (в 2016 год</w:t>
      </w:r>
      <w:r>
        <w:rPr>
          <w:sz w:val="24"/>
          <w:szCs w:val="24"/>
        </w:rPr>
        <w:t>у</w:t>
      </w:r>
      <w:r w:rsidRPr="004168B6">
        <w:rPr>
          <w:sz w:val="24"/>
          <w:szCs w:val="24"/>
        </w:rPr>
        <w:t xml:space="preserve"> – 3</w:t>
      </w:r>
      <w:r>
        <w:rPr>
          <w:sz w:val="24"/>
          <w:szCs w:val="24"/>
        </w:rPr>
        <w:t>4,6</w:t>
      </w:r>
      <w:r w:rsidRPr="004168B6">
        <w:rPr>
          <w:sz w:val="24"/>
          <w:szCs w:val="24"/>
        </w:rPr>
        <w:t xml:space="preserve"> %). </w:t>
      </w:r>
    </w:p>
    <w:p w:rsidR="001D6AFD" w:rsidRPr="00B81862" w:rsidRDefault="001D6AFD" w:rsidP="001D6AFD">
      <w:pPr>
        <w:spacing w:line="276" w:lineRule="auto"/>
        <w:ind w:firstLine="709"/>
        <w:jc w:val="both"/>
        <w:rPr>
          <w:sz w:val="24"/>
          <w:szCs w:val="24"/>
        </w:rPr>
      </w:pPr>
      <w:r w:rsidRPr="00590D85">
        <w:rPr>
          <w:sz w:val="24"/>
          <w:szCs w:val="24"/>
        </w:rPr>
        <w:t xml:space="preserve">В общем объеме инвестиций в основной капитал по городскому округу основная доля пришлась на крупные и средние предприятия промышленного сектора экономики – </w:t>
      </w:r>
      <w:r>
        <w:rPr>
          <w:sz w:val="24"/>
          <w:szCs w:val="24"/>
        </w:rPr>
        <w:t>87</w:t>
      </w:r>
      <w:r w:rsidRPr="00590D85">
        <w:rPr>
          <w:sz w:val="24"/>
          <w:szCs w:val="24"/>
        </w:rPr>
        <w:t>,</w:t>
      </w:r>
      <w:r>
        <w:rPr>
          <w:sz w:val="24"/>
          <w:szCs w:val="24"/>
        </w:rPr>
        <w:t xml:space="preserve">6 </w:t>
      </w:r>
      <w:r w:rsidRPr="00590D85">
        <w:rPr>
          <w:sz w:val="24"/>
          <w:szCs w:val="24"/>
        </w:rPr>
        <w:t xml:space="preserve">% или </w:t>
      </w:r>
      <w:r>
        <w:rPr>
          <w:sz w:val="24"/>
          <w:szCs w:val="24"/>
        </w:rPr>
        <w:t>8 980,9</w:t>
      </w:r>
      <w:r w:rsidRPr="00590D85">
        <w:rPr>
          <w:sz w:val="24"/>
          <w:szCs w:val="24"/>
        </w:rPr>
        <w:t xml:space="preserve"> млн. руб. </w:t>
      </w:r>
      <w:r w:rsidRPr="006320EA">
        <w:rPr>
          <w:sz w:val="24"/>
          <w:szCs w:val="24"/>
        </w:rPr>
        <w:t xml:space="preserve">(на </w:t>
      </w:r>
      <w:r>
        <w:rPr>
          <w:sz w:val="24"/>
          <w:szCs w:val="24"/>
        </w:rPr>
        <w:t>16</w:t>
      </w:r>
      <w:r w:rsidRPr="006320EA">
        <w:rPr>
          <w:sz w:val="24"/>
          <w:szCs w:val="24"/>
        </w:rPr>
        <w:t xml:space="preserve"> % меньше соответствующего периода прошлого года), </w:t>
      </w:r>
      <w:r w:rsidRPr="00B81862">
        <w:rPr>
          <w:sz w:val="24"/>
          <w:szCs w:val="24"/>
        </w:rPr>
        <w:t>в том числе на обрабатывающие производства – 8</w:t>
      </w:r>
      <w:r>
        <w:rPr>
          <w:sz w:val="24"/>
          <w:szCs w:val="24"/>
        </w:rPr>
        <w:t>2</w:t>
      </w:r>
      <w:r w:rsidRPr="00B81862">
        <w:rPr>
          <w:sz w:val="24"/>
          <w:szCs w:val="24"/>
        </w:rPr>
        <w:t>,</w:t>
      </w:r>
      <w:r>
        <w:rPr>
          <w:sz w:val="24"/>
          <w:szCs w:val="24"/>
        </w:rPr>
        <w:t>6</w:t>
      </w:r>
      <w:r w:rsidRPr="00B81862">
        <w:rPr>
          <w:sz w:val="24"/>
          <w:szCs w:val="24"/>
        </w:rPr>
        <w:t xml:space="preserve"> % или </w:t>
      </w:r>
      <w:r>
        <w:rPr>
          <w:sz w:val="24"/>
          <w:szCs w:val="24"/>
        </w:rPr>
        <w:t>8 468,0</w:t>
      </w:r>
      <w:r w:rsidRPr="00B81862">
        <w:rPr>
          <w:sz w:val="24"/>
          <w:szCs w:val="24"/>
        </w:rPr>
        <w:t xml:space="preserve"> млн.руб.; на </w:t>
      </w:r>
      <w:r>
        <w:rPr>
          <w:sz w:val="24"/>
          <w:szCs w:val="24"/>
        </w:rPr>
        <w:t xml:space="preserve">обеспечение электрической энергией, газом, паром; водоснабжение, водоотведение, сбор и утилизацию отходов (сумма разделов </w:t>
      </w:r>
      <w:r>
        <w:rPr>
          <w:sz w:val="24"/>
          <w:szCs w:val="24"/>
          <w:lang w:val="en-US"/>
        </w:rPr>
        <w:t>D</w:t>
      </w:r>
      <w:r>
        <w:rPr>
          <w:sz w:val="24"/>
          <w:szCs w:val="24"/>
        </w:rPr>
        <w:t xml:space="preserve"> и </w:t>
      </w:r>
      <w:r>
        <w:rPr>
          <w:sz w:val="24"/>
          <w:szCs w:val="24"/>
          <w:lang w:val="en-US"/>
        </w:rPr>
        <w:t>E</w:t>
      </w:r>
      <w:r w:rsidRPr="00B81862">
        <w:rPr>
          <w:sz w:val="24"/>
          <w:szCs w:val="24"/>
        </w:rPr>
        <w:t xml:space="preserve">) – </w:t>
      </w:r>
      <w:r>
        <w:rPr>
          <w:sz w:val="24"/>
          <w:szCs w:val="24"/>
        </w:rPr>
        <w:t>5</w:t>
      </w:r>
      <w:r w:rsidRPr="00B81862">
        <w:rPr>
          <w:sz w:val="24"/>
          <w:szCs w:val="24"/>
        </w:rPr>
        <w:t xml:space="preserve"> % или </w:t>
      </w:r>
      <w:r>
        <w:rPr>
          <w:sz w:val="24"/>
          <w:szCs w:val="24"/>
        </w:rPr>
        <w:t>512,8</w:t>
      </w:r>
      <w:r w:rsidRPr="00B81862">
        <w:rPr>
          <w:sz w:val="24"/>
          <w:szCs w:val="24"/>
        </w:rPr>
        <w:t xml:space="preserve"> млн.руб. </w:t>
      </w:r>
    </w:p>
    <w:p w:rsidR="001D6AFD" w:rsidRDefault="001D6AFD" w:rsidP="001D6AFD">
      <w:pPr>
        <w:spacing w:line="276" w:lineRule="auto"/>
        <w:ind w:firstLine="709"/>
        <w:jc w:val="both"/>
        <w:rPr>
          <w:sz w:val="24"/>
          <w:szCs w:val="24"/>
        </w:rPr>
      </w:pPr>
      <w:r w:rsidRPr="004168B6">
        <w:rPr>
          <w:sz w:val="24"/>
          <w:szCs w:val="24"/>
        </w:rPr>
        <w:t>На долю предприятий оптовой и розничной торговли пришлось 8,</w:t>
      </w:r>
      <w:r>
        <w:rPr>
          <w:sz w:val="24"/>
          <w:szCs w:val="24"/>
        </w:rPr>
        <w:t>1</w:t>
      </w:r>
      <w:r w:rsidRPr="004168B6">
        <w:rPr>
          <w:sz w:val="24"/>
          <w:szCs w:val="24"/>
        </w:rPr>
        <w:t xml:space="preserve"> %</w:t>
      </w:r>
      <w:r>
        <w:rPr>
          <w:sz w:val="24"/>
          <w:szCs w:val="24"/>
        </w:rPr>
        <w:t xml:space="preserve"> инвестиций (835,2 млн. руб., рост в 2,5 раза</w:t>
      </w:r>
      <w:r w:rsidR="00945999">
        <w:rPr>
          <w:sz w:val="24"/>
          <w:szCs w:val="24"/>
        </w:rPr>
        <w:t xml:space="preserve"> </w:t>
      </w:r>
      <w:r w:rsidR="00945999" w:rsidRPr="00945999">
        <w:rPr>
          <w:sz w:val="24"/>
          <w:szCs w:val="24"/>
        </w:rPr>
        <w:t>в связи со строительством торгового центра «Акварель»</w:t>
      </w:r>
      <w:r>
        <w:rPr>
          <w:sz w:val="24"/>
          <w:szCs w:val="24"/>
        </w:rPr>
        <w:t>)</w:t>
      </w:r>
      <w:r w:rsidRPr="004168B6">
        <w:rPr>
          <w:sz w:val="24"/>
          <w:szCs w:val="24"/>
        </w:rPr>
        <w:t xml:space="preserve">, </w:t>
      </w:r>
      <w:r w:rsidR="00945999">
        <w:rPr>
          <w:sz w:val="24"/>
          <w:szCs w:val="24"/>
        </w:rPr>
        <w:t xml:space="preserve">на </w:t>
      </w:r>
      <w:r>
        <w:rPr>
          <w:sz w:val="24"/>
          <w:szCs w:val="24"/>
        </w:rPr>
        <w:t>прочие виды деятельности – 4,2</w:t>
      </w:r>
      <w:r w:rsidRPr="004168B6">
        <w:rPr>
          <w:sz w:val="24"/>
          <w:szCs w:val="24"/>
        </w:rPr>
        <w:t xml:space="preserve"> %</w:t>
      </w:r>
      <w:r>
        <w:rPr>
          <w:sz w:val="24"/>
          <w:szCs w:val="24"/>
        </w:rPr>
        <w:t xml:space="preserve"> (431 млн.руб.).</w:t>
      </w:r>
    </w:p>
    <w:p w:rsidR="001D6AFD" w:rsidRDefault="001D6AFD" w:rsidP="001D6AFD">
      <w:pPr>
        <w:spacing w:line="276" w:lineRule="auto"/>
        <w:ind w:firstLine="709"/>
        <w:jc w:val="both"/>
        <w:rPr>
          <w:sz w:val="24"/>
          <w:szCs w:val="24"/>
        </w:rPr>
      </w:pPr>
      <w:r w:rsidRPr="00EA21FA">
        <w:rPr>
          <w:sz w:val="24"/>
          <w:szCs w:val="24"/>
        </w:rPr>
        <w:t xml:space="preserve">По виду деятельности «Строительство» объем инвестиций остался на уровне аналогичного периода прошлого года (13,6 млн.руб.), по виду деятельности «Образование» инвестиции </w:t>
      </w:r>
      <w:r w:rsidR="008A7DBA" w:rsidRPr="00EA21FA">
        <w:rPr>
          <w:sz w:val="24"/>
          <w:szCs w:val="24"/>
        </w:rPr>
        <w:t>сократились на</w:t>
      </w:r>
      <w:r w:rsidRPr="00EA21FA">
        <w:rPr>
          <w:sz w:val="24"/>
          <w:szCs w:val="24"/>
        </w:rPr>
        <w:t xml:space="preserve"> 22,1 млн.</w:t>
      </w:r>
      <w:r w:rsidR="008A7DBA">
        <w:rPr>
          <w:sz w:val="24"/>
          <w:szCs w:val="24"/>
        </w:rPr>
        <w:t xml:space="preserve"> </w:t>
      </w:r>
      <w:r w:rsidRPr="00EA21FA">
        <w:rPr>
          <w:sz w:val="24"/>
          <w:szCs w:val="24"/>
        </w:rPr>
        <w:t xml:space="preserve">руб. к 1 полугодию 2016 года и составили 30,1 млн.руб., в здравоохранении и предоставлении социальных услуг – на 78,3 млн.руб. </w:t>
      </w:r>
      <w:r w:rsidR="00A37018">
        <w:rPr>
          <w:sz w:val="24"/>
          <w:szCs w:val="24"/>
        </w:rPr>
        <w:t>и составили</w:t>
      </w:r>
      <w:r w:rsidRPr="00EA21FA">
        <w:rPr>
          <w:sz w:val="24"/>
          <w:szCs w:val="24"/>
        </w:rPr>
        <w:t xml:space="preserve"> 30,7 млн.руб.  </w:t>
      </w:r>
    </w:p>
    <w:p w:rsidR="001D6AFD" w:rsidRPr="005F6EB3" w:rsidRDefault="001D6AFD" w:rsidP="001D6AFD">
      <w:pPr>
        <w:spacing w:line="276" w:lineRule="auto"/>
        <w:ind w:firstLine="709"/>
        <w:jc w:val="both"/>
        <w:rPr>
          <w:sz w:val="24"/>
          <w:szCs w:val="24"/>
        </w:rPr>
      </w:pPr>
      <w:r w:rsidRPr="005F6EB3">
        <w:rPr>
          <w:sz w:val="24"/>
          <w:szCs w:val="24"/>
        </w:rPr>
        <w:t>В 1 полугодии 2017 года на 29,3 % (на 45,7 млн.</w:t>
      </w:r>
      <w:r>
        <w:rPr>
          <w:sz w:val="24"/>
          <w:szCs w:val="24"/>
        </w:rPr>
        <w:t xml:space="preserve"> </w:t>
      </w:r>
      <w:r w:rsidRPr="005F6EB3">
        <w:rPr>
          <w:sz w:val="24"/>
          <w:szCs w:val="24"/>
        </w:rPr>
        <w:t xml:space="preserve">руб.) к уровню аналогичного периода прошлого </w:t>
      </w:r>
      <w:r w:rsidR="008A7DBA" w:rsidRPr="005F6EB3">
        <w:rPr>
          <w:sz w:val="24"/>
          <w:szCs w:val="24"/>
        </w:rPr>
        <w:t>года снизились</w:t>
      </w:r>
      <w:r w:rsidRPr="005F6EB3">
        <w:rPr>
          <w:sz w:val="24"/>
          <w:szCs w:val="24"/>
        </w:rPr>
        <w:t xml:space="preserve"> бюджетные инвестиции, в том числе из федерального бюджета – снижение на 3,3 % (на 284 тыс.руб. до 8,9 млн.руб.), из областного бюджета – снижение на 80 % (на 92,8 млн.руб. до 23,4 млн.руб.), из местного бюджета – рост в 2,6 раза (на 47,4 млн. руб.до 77,9 млн.руб.).   </w:t>
      </w:r>
    </w:p>
    <w:p w:rsidR="001D6AFD" w:rsidRPr="004168B6" w:rsidRDefault="001D6AFD" w:rsidP="001D6AFD">
      <w:pPr>
        <w:pStyle w:val="aff1"/>
        <w:spacing w:line="276" w:lineRule="auto"/>
        <w:rPr>
          <w:sz w:val="24"/>
          <w:szCs w:val="24"/>
          <w:highlight w:val="yellow"/>
        </w:rPr>
      </w:pPr>
      <w:r w:rsidRPr="004168B6">
        <w:rPr>
          <w:sz w:val="24"/>
          <w:szCs w:val="24"/>
        </w:rPr>
        <w:t xml:space="preserve">На ПАО «АВТОВАЗ» объемы инвестиций в основной капитал </w:t>
      </w:r>
      <w:r>
        <w:rPr>
          <w:sz w:val="24"/>
          <w:szCs w:val="24"/>
        </w:rPr>
        <w:t>в 1 полугодии 2017 года выросли</w:t>
      </w:r>
      <w:r w:rsidRPr="004168B6">
        <w:rPr>
          <w:sz w:val="24"/>
          <w:szCs w:val="24"/>
        </w:rPr>
        <w:t xml:space="preserve"> на </w:t>
      </w:r>
      <w:r>
        <w:rPr>
          <w:sz w:val="24"/>
          <w:szCs w:val="24"/>
        </w:rPr>
        <w:t>3</w:t>
      </w:r>
      <w:r w:rsidRPr="004168B6">
        <w:rPr>
          <w:sz w:val="24"/>
          <w:szCs w:val="24"/>
        </w:rPr>
        <w:t xml:space="preserve"> % </w:t>
      </w:r>
      <w:r>
        <w:rPr>
          <w:sz w:val="24"/>
          <w:szCs w:val="24"/>
        </w:rPr>
        <w:t>к</w:t>
      </w:r>
      <w:r w:rsidRPr="004168B6">
        <w:rPr>
          <w:sz w:val="24"/>
          <w:szCs w:val="24"/>
        </w:rPr>
        <w:t xml:space="preserve"> аналогичн</w:t>
      </w:r>
      <w:r>
        <w:rPr>
          <w:sz w:val="24"/>
          <w:szCs w:val="24"/>
        </w:rPr>
        <w:t>ому</w:t>
      </w:r>
      <w:r w:rsidRPr="004168B6">
        <w:rPr>
          <w:sz w:val="24"/>
          <w:szCs w:val="24"/>
        </w:rPr>
        <w:t xml:space="preserve"> период</w:t>
      </w:r>
      <w:r>
        <w:rPr>
          <w:sz w:val="24"/>
          <w:szCs w:val="24"/>
        </w:rPr>
        <w:t>у</w:t>
      </w:r>
      <w:r w:rsidRPr="004168B6">
        <w:rPr>
          <w:sz w:val="24"/>
          <w:szCs w:val="24"/>
        </w:rPr>
        <w:t xml:space="preserve"> прошлого года. </w:t>
      </w:r>
    </w:p>
    <w:p w:rsidR="001D6AFD" w:rsidRDefault="001D6AFD" w:rsidP="001D6AFD">
      <w:pPr>
        <w:pStyle w:val="aff1"/>
        <w:spacing w:line="276" w:lineRule="auto"/>
        <w:rPr>
          <w:sz w:val="24"/>
          <w:szCs w:val="24"/>
        </w:rPr>
      </w:pPr>
      <w:r w:rsidRPr="004168B6">
        <w:rPr>
          <w:sz w:val="24"/>
          <w:szCs w:val="24"/>
        </w:rPr>
        <w:t xml:space="preserve">Сокращение финансирования инвестиционных проектов отмечено в химическом производстве, в частности, на ПАО «КуйбышевАзот» </w:t>
      </w:r>
      <w:r>
        <w:rPr>
          <w:sz w:val="24"/>
          <w:szCs w:val="24"/>
        </w:rPr>
        <w:t xml:space="preserve">и на </w:t>
      </w:r>
      <w:r w:rsidRPr="004168B6">
        <w:rPr>
          <w:sz w:val="24"/>
          <w:szCs w:val="24"/>
        </w:rPr>
        <w:t xml:space="preserve">ПАО «Тольяттиазот» </w:t>
      </w:r>
      <w:r>
        <w:rPr>
          <w:sz w:val="24"/>
          <w:szCs w:val="24"/>
        </w:rPr>
        <w:t xml:space="preserve">более чем на </w:t>
      </w:r>
      <w:r w:rsidRPr="004168B6">
        <w:rPr>
          <w:sz w:val="24"/>
          <w:szCs w:val="24"/>
        </w:rPr>
        <w:t xml:space="preserve"> 25 %.</w:t>
      </w:r>
    </w:p>
    <w:p w:rsidR="001D6AFD" w:rsidRPr="004168B6" w:rsidRDefault="001D6AFD" w:rsidP="001D6AFD">
      <w:pPr>
        <w:pStyle w:val="aff1"/>
        <w:spacing w:line="276" w:lineRule="auto"/>
        <w:rPr>
          <w:sz w:val="24"/>
          <w:szCs w:val="24"/>
        </w:rPr>
      </w:pPr>
      <w:r w:rsidRPr="00446981">
        <w:rPr>
          <w:sz w:val="24"/>
          <w:szCs w:val="24"/>
        </w:rPr>
        <w:t xml:space="preserve">Следует отметить, что </w:t>
      </w:r>
      <w:r>
        <w:rPr>
          <w:sz w:val="24"/>
          <w:szCs w:val="24"/>
        </w:rPr>
        <w:t xml:space="preserve">наиболее активная фаза реализации инвестиционных проектов, </w:t>
      </w:r>
      <w:r w:rsidRPr="00446981">
        <w:rPr>
          <w:sz w:val="24"/>
          <w:szCs w:val="24"/>
        </w:rPr>
        <w:t xml:space="preserve">традиционно, приходится на </w:t>
      </w:r>
      <w:r>
        <w:rPr>
          <w:sz w:val="24"/>
          <w:szCs w:val="24"/>
        </w:rPr>
        <w:t>второе полугодие отчетного года</w:t>
      </w:r>
      <w:r w:rsidRPr="00446981">
        <w:rPr>
          <w:sz w:val="24"/>
          <w:szCs w:val="24"/>
        </w:rPr>
        <w:t>.</w:t>
      </w:r>
      <w:r>
        <w:rPr>
          <w:sz w:val="24"/>
          <w:szCs w:val="24"/>
        </w:rPr>
        <w:t xml:space="preserve">   </w:t>
      </w:r>
    </w:p>
    <w:p w:rsidR="001D6AFD" w:rsidRPr="00E06C63" w:rsidRDefault="007B727C" w:rsidP="001D6AFD">
      <w:pPr>
        <w:snapToGrid w:val="0"/>
        <w:spacing w:line="276" w:lineRule="auto"/>
        <w:ind w:firstLine="709"/>
        <w:jc w:val="both"/>
        <w:rPr>
          <w:sz w:val="24"/>
          <w:szCs w:val="24"/>
        </w:rPr>
      </w:pPr>
      <w:r>
        <w:rPr>
          <w:sz w:val="24"/>
          <w:szCs w:val="24"/>
        </w:rPr>
        <w:t>Н</w:t>
      </w:r>
      <w:r w:rsidR="001D6AFD">
        <w:rPr>
          <w:sz w:val="24"/>
          <w:szCs w:val="24"/>
        </w:rPr>
        <w:t xml:space="preserve">а </w:t>
      </w:r>
      <w:r w:rsidR="001D6AFD" w:rsidRPr="00B365C4">
        <w:rPr>
          <w:sz w:val="24"/>
          <w:szCs w:val="24"/>
        </w:rPr>
        <w:t>ПАО «АВТОВАЗ»</w:t>
      </w:r>
      <w:r w:rsidR="001D6AFD">
        <w:rPr>
          <w:sz w:val="24"/>
          <w:szCs w:val="24"/>
        </w:rPr>
        <w:t xml:space="preserve"> реализуются инвестиционные проекты, направленные на организацию и развитие </w:t>
      </w:r>
      <w:r w:rsidR="001D6AFD" w:rsidRPr="00E06C63">
        <w:rPr>
          <w:sz w:val="24"/>
          <w:szCs w:val="24"/>
        </w:rPr>
        <w:t>производств</w:t>
      </w:r>
      <w:r w:rsidR="001D6AFD">
        <w:rPr>
          <w:sz w:val="24"/>
          <w:szCs w:val="24"/>
        </w:rPr>
        <w:t>а</w:t>
      </w:r>
      <w:r w:rsidR="001D6AFD" w:rsidRPr="00E06C63">
        <w:rPr>
          <w:sz w:val="24"/>
          <w:szCs w:val="24"/>
        </w:rPr>
        <w:t xml:space="preserve"> автомобилей на платформе В0</w:t>
      </w:r>
      <w:r w:rsidR="001D6AFD">
        <w:rPr>
          <w:sz w:val="24"/>
          <w:szCs w:val="24"/>
        </w:rPr>
        <w:t xml:space="preserve">, </w:t>
      </w:r>
      <w:r w:rsidR="001D6AFD" w:rsidRPr="00E06C63">
        <w:rPr>
          <w:sz w:val="24"/>
          <w:szCs w:val="24"/>
        </w:rPr>
        <w:t>производств</w:t>
      </w:r>
      <w:r w:rsidR="001D6AFD">
        <w:rPr>
          <w:sz w:val="24"/>
          <w:szCs w:val="24"/>
        </w:rPr>
        <w:t>о</w:t>
      </w:r>
      <w:r w:rsidR="001D6AFD" w:rsidRPr="00E06C63">
        <w:rPr>
          <w:sz w:val="24"/>
          <w:szCs w:val="24"/>
        </w:rPr>
        <w:t xml:space="preserve"> семейства автомобилей LADA B/C</w:t>
      </w:r>
      <w:r w:rsidR="001D6AFD">
        <w:rPr>
          <w:sz w:val="24"/>
          <w:szCs w:val="24"/>
        </w:rPr>
        <w:t>,</w:t>
      </w:r>
      <w:r w:rsidR="001D6AFD" w:rsidRPr="00E06C63">
        <w:rPr>
          <w:sz w:val="24"/>
          <w:szCs w:val="24"/>
        </w:rPr>
        <w:t xml:space="preserve"> производство автомобилей LADA GRANTA и </w:t>
      </w:r>
      <w:r w:rsidR="008A7DBA" w:rsidRPr="00E06C63">
        <w:rPr>
          <w:sz w:val="24"/>
          <w:szCs w:val="24"/>
        </w:rPr>
        <w:t>LADA KALINA</w:t>
      </w:r>
      <w:r w:rsidR="001D6AFD">
        <w:rPr>
          <w:sz w:val="24"/>
          <w:szCs w:val="24"/>
        </w:rPr>
        <w:t xml:space="preserve">, </w:t>
      </w:r>
      <w:r w:rsidR="001D6AFD" w:rsidRPr="00E06C63">
        <w:rPr>
          <w:sz w:val="24"/>
          <w:szCs w:val="24"/>
        </w:rPr>
        <w:t>производство автомобилей XRAY</w:t>
      </w:r>
      <w:r w:rsidR="001D6AFD">
        <w:rPr>
          <w:sz w:val="24"/>
          <w:szCs w:val="24"/>
        </w:rPr>
        <w:t xml:space="preserve">, </w:t>
      </w:r>
      <w:r w:rsidR="001D6AFD" w:rsidRPr="00E06C63">
        <w:rPr>
          <w:sz w:val="24"/>
          <w:szCs w:val="24"/>
        </w:rPr>
        <w:t>развитие прессового производства</w:t>
      </w:r>
      <w:r w:rsidR="001D6AFD">
        <w:rPr>
          <w:sz w:val="24"/>
          <w:szCs w:val="24"/>
        </w:rPr>
        <w:t>,</w:t>
      </w:r>
      <w:r w:rsidR="001D6AFD" w:rsidRPr="00E06C63">
        <w:rPr>
          <w:sz w:val="24"/>
          <w:szCs w:val="24"/>
        </w:rPr>
        <w:t xml:space="preserve"> локализаци</w:t>
      </w:r>
      <w:r w:rsidR="001D6AFD">
        <w:rPr>
          <w:sz w:val="24"/>
          <w:szCs w:val="24"/>
        </w:rPr>
        <w:t>ю</w:t>
      </w:r>
      <w:r w:rsidR="001D6AFD" w:rsidRPr="00E06C63">
        <w:rPr>
          <w:sz w:val="24"/>
          <w:szCs w:val="24"/>
        </w:rPr>
        <w:t xml:space="preserve"> двигателя Н4</w:t>
      </w:r>
      <w:r w:rsidR="001D6AFD">
        <w:rPr>
          <w:sz w:val="24"/>
          <w:szCs w:val="24"/>
        </w:rPr>
        <w:t>,</w:t>
      </w:r>
      <w:r w:rsidR="001D6AFD" w:rsidRPr="00E06C63">
        <w:rPr>
          <w:sz w:val="24"/>
          <w:szCs w:val="24"/>
        </w:rPr>
        <w:t xml:space="preserve"> производство </w:t>
      </w:r>
      <w:r w:rsidR="001D6AFD">
        <w:rPr>
          <w:sz w:val="24"/>
          <w:szCs w:val="24"/>
        </w:rPr>
        <w:t xml:space="preserve">автомобиля </w:t>
      </w:r>
      <w:r w:rsidR="001D6AFD" w:rsidRPr="00E06C63">
        <w:rPr>
          <w:sz w:val="24"/>
          <w:szCs w:val="24"/>
        </w:rPr>
        <w:t>4х4 NG</w:t>
      </w:r>
      <w:r w:rsidR="001D6AFD">
        <w:rPr>
          <w:sz w:val="24"/>
          <w:szCs w:val="24"/>
        </w:rPr>
        <w:t xml:space="preserve"> и другие. </w:t>
      </w:r>
    </w:p>
    <w:p w:rsidR="001D6AFD" w:rsidRDefault="001D6AFD" w:rsidP="001D6AFD">
      <w:pPr>
        <w:spacing w:line="276" w:lineRule="auto"/>
        <w:ind w:firstLine="709"/>
        <w:jc w:val="both"/>
        <w:rPr>
          <w:sz w:val="24"/>
          <w:szCs w:val="24"/>
        </w:rPr>
      </w:pPr>
      <w:r w:rsidRPr="00AE66FF">
        <w:rPr>
          <w:sz w:val="24"/>
          <w:szCs w:val="24"/>
        </w:rPr>
        <w:t>На ПАО «Куйбышевазот»</w:t>
      </w:r>
      <w:r>
        <w:rPr>
          <w:sz w:val="24"/>
          <w:szCs w:val="24"/>
        </w:rPr>
        <w:t xml:space="preserve"> в 2016 году </w:t>
      </w:r>
      <w:r w:rsidRPr="00AE66FF">
        <w:rPr>
          <w:sz w:val="24"/>
          <w:szCs w:val="24"/>
        </w:rPr>
        <w:t xml:space="preserve">завершена реализация </w:t>
      </w:r>
      <w:r>
        <w:rPr>
          <w:sz w:val="24"/>
          <w:szCs w:val="24"/>
        </w:rPr>
        <w:t xml:space="preserve">масштабных </w:t>
      </w:r>
      <w:r w:rsidRPr="00AE66FF">
        <w:rPr>
          <w:sz w:val="24"/>
          <w:szCs w:val="24"/>
        </w:rPr>
        <w:t>инвестиционн</w:t>
      </w:r>
      <w:r>
        <w:rPr>
          <w:sz w:val="24"/>
          <w:szCs w:val="24"/>
        </w:rPr>
        <w:t>ых</w:t>
      </w:r>
      <w:r w:rsidRPr="00AE66FF">
        <w:rPr>
          <w:sz w:val="24"/>
          <w:szCs w:val="24"/>
        </w:rPr>
        <w:t xml:space="preserve"> проект</w:t>
      </w:r>
      <w:r>
        <w:rPr>
          <w:sz w:val="24"/>
          <w:szCs w:val="24"/>
        </w:rPr>
        <w:t>ов</w:t>
      </w:r>
      <w:r w:rsidRPr="00AE66FF">
        <w:rPr>
          <w:sz w:val="24"/>
          <w:szCs w:val="24"/>
        </w:rPr>
        <w:t xml:space="preserve"> по строительству энергоэффективного производства циклогексанона</w:t>
      </w:r>
      <w:r>
        <w:rPr>
          <w:sz w:val="24"/>
          <w:szCs w:val="24"/>
        </w:rPr>
        <w:t>,</w:t>
      </w:r>
      <w:r w:rsidRPr="00AE66FF">
        <w:rPr>
          <w:sz w:val="24"/>
          <w:szCs w:val="24"/>
        </w:rPr>
        <w:t xml:space="preserve"> </w:t>
      </w:r>
      <w:r>
        <w:rPr>
          <w:sz w:val="24"/>
          <w:szCs w:val="24"/>
        </w:rPr>
        <w:t>строительств</w:t>
      </w:r>
      <w:r w:rsidR="00A37018">
        <w:rPr>
          <w:sz w:val="24"/>
          <w:szCs w:val="24"/>
        </w:rPr>
        <w:t>у</w:t>
      </w:r>
      <w:r>
        <w:rPr>
          <w:sz w:val="24"/>
          <w:szCs w:val="24"/>
        </w:rPr>
        <w:t xml:space="preserve"> высокотехнологичной установки аммиака совместно с немецкой компанией «</w:t>
      </w:r>
      <w:r>
        <w:rPr>
          <w:sz w:val="24"/>
          <w:szCs w:val="24"/>
          <w:lang w:val="en-US"/>
        </w:rPr>
        <w:t>Linde</w:t>
      </w:r>
      <w:r w:rsidRPr="001E3FAB">
        <w:rPr>
          <w:sz w:val="24"/>
          <w:szCs w:val="24"/>
        </w:rPr>
        <w:t xml:space="preserve"> </w:t>
      </w:r>
      <w:r>
        <w:rPr>
          <w:sz w:val="24"/>
          <w:szCs w:val="24"/>
          <w:lang w:val="en-US"/>
        </w:rPr>
        <w:t>Group</w:t>
      </w:r>
      <w:r>
        <w:rPr>
          <w:sz w:val="24"/>
          <w:szCs w:val="24"/>
        </w:rPr>
        <w:t xml:space="preserve">», </w:t>
      </w:r>
      <w:r w:rsidRPr="001E3FAB">
        <w:rPr>
          <w:sz w:val="24"/>
          <w:szCs w:val="24"/>
        </w:rPr>
        <w:t>строительств</w:t>
      </w:r>
      <w:r w:rsidR="00A37018">
        <w:rPr>
          <w:sz w:val="24"/>
          <w:szCs w:val="24"/>
        </w:rPr>
        <w:t>у</w:t>
      </w:r>
      <w:r w:rsidRPr="001E3FAB">
        <w:rPr>
          <w:sz w:val="24"/>
          <w:szCs w:val="24"/>
        </w:rPr>
        <w:t xml:space="preserve"> новой воздухоразделительной установки с корпорацией Praxair (США)</w:t>
      </w:r>
      <w:r>
        <w:rPr>
          <w:sz w:val="24"/>
          <w:szCs w:val="24"/>
        </w:rPr>
        <w:t xml:space="preserve"> </w:t>
      </w:r>
      <w:r w:rsidRPr="00AE66FF">
        <w:rPr>
          <w:sz w:val="24"/>
          <w:szCs w:val="24"/>
        </w:rPr>
        <w:t xml:space="preserve">с общим объемом </w:t>
      </w:r>
      <w:r>
        <w:rPr>
          <w:sz w:val="24"/>
          <w:szCs w:val="24"/>
        </w:rPr>
        <w:t xml:space="preserve">инвестиций более 10 млрд.руб. </w:t>
      </w:r>
    </w:p>
    <w:p w:rsidR="001D6AFD" w:rsidRDefault="001D6AFD" w:rsidP="001D6AFD">
      <w:pPr>
        <w:spacing w:line="276" w:lineRule="auto"/>
        <w:ind w:firstLine="709"/>
        <w:jc w:val="both"/>
        <w:rPr>
          <w:sz w:val="24"/>
          <w:szCs w:val="24"/>
        </w:rPr>
      </w:pPr>
      <w:r>
        <w:rPr>
          <w:sz w:val="24"/>
          <w:szCs w:val="24"/>
        </w:rPr>
        <w:t>Завершение проектов повлияло на снижение объемов инвестиций в текущем году.</w:t>
      </w:r>
    </w:p>
    <w:p w:rsidR="001D6AFD" w:rsidRPr="002951FD" w:rsidRDefault="001D6AFD" w:rsidP="001D6AFD">
      <w:pPr>
        <w:spacing w:line="276" w:lineRule="auto"/>
        <w:ind w:firstLine="709"/>
        <w:jc w:val="both"/>
        <w:rPr>
          <w:sz w:val="24"/>
          <w:szCs w:val="24"/>
        </w:rPr>
      </w:pPr>
      <w:r>
        <w:rPr>
          <w:sz w:val="24"/>
          <w:szCs w:val="24"/>
        </w:rPr>
        <w:t>Тем не менее, на предприятии п</w:t>
      </w:r>
      <w:r w:rsidRPr="00AE66FF">
        <w:rPr>
          <w:sz w:val="24"/>
          <w:szCs w:val="24"/>
        </w:rPr>
        <w:t>родолжа</w:t>
      </w:r>
      <w:r>
        <w:rPr>
          <w:sz w:val="24"/>
          <w:szCs w:val="24"/>
        </w:rPr>
        <w:t>е</w:t>
      </w:r>
      <w:r w:rsidRPr="00AE66FF">
        <w:rPr>
          <w:sz w:val="24"/>
          <w:szCs w:val="24"/>
        </w:rPr>
        <w:t>тся реализаци</w:t>
      </w:r>
      <w:r>
        <w:rPr>
          <w:sz w:val="24"/>
          <w:szCs w:val="24"/>
        </w:rPr>
        <w:t>я</w:t>
      </w:r>
      <w:r w:rsidRPr="00AE66FF">
        <w:rPr>
          <w:sz w:val="24"/>
          <w:szCs w:val="24"/>
        </w:rPr>
        <w:t xml:space="preserve"> проект</w:t>
      </w:r>
      <w:r>
        <w:rPr>
          <w:sz w:val="24"/>
          <w:szCs w:val="24"/>
        </w:rPr>
        <w:t>ов</w:t>
      </w:r>
      <w:r w:rsidRPr="00AE66FF">
        <w:rPr>
          <w:sz w:val="24"/>
          <w:szCs w:val="24"/>
        </w:rPr>
        <w:t xml:space="preserve"> по </w:t>
      </w:r>
      <w:r>
        <w:rPr>
          <w:sz w:val="24"/>
          <w:szCs w:val="24"/>
        </w:rPr>
        <w:t xml:space="preserve">развитию </w:t>
      </w:r>
      <w:r w:rsidRPr="00AE66FF">
        <w:rPr>
          <w:sz w:val="24"/>
          <w:szCs w:val="24"/>
        </w:rPr>
        <w:t>производств</w:t>
      </w:r>
      <w:r>
        <w:rPr>
          <w:sz w:val="24"/>
          <w:szCs w:val="24"/>
        </w:rPr>
        <w:t>а</w:t>
      </w:r>
      <w:r w:rsidRPr="00AE66FF">
        <w:rPr>
          <w:sz w:val="24"/>
          <w:szCs w:val="24"/>
        </w:rPr>
        <w:t xml:space="preserve"> полиамида-6 (IV очередь строительства), </w:t>
      </w:r>
      <w:r>
        <w:rPr>
          <w:sz w:val="24"/>
          <w:szCs w:val="24"/>
        </w:rPr>
        <w:t xml:space="preserve">производства </w:t>
      </w:r>
      <w:r w:rsidRPr="00AE66FF">
        <w:rPr>
          <w:sz w:val="24"/>
          <w:szCs w:val="24"/>
        </w:rPr>
        <w:t>неконцентрированной азотной кислоты на базе УКЛ</w:t>
      </w:r>
      <w:r>
        <w:rPr>
          <w:sz w:val="24"/>
          <w:szCs w:val="24"/>
        </w:rPr>
        <w:t xml:space="preserve">, увеличение мощности гидроксиламинсульфата до 220 тыс.тонн/год, строительство установки компактирования сульфата аммония совместно с предприятием </w:t>
      </w:r>
      <w:r>
        <w:rPr>
          <w:sz w:val="24"/>
          <w:szCs w:val="24"/>
          <w:lang w:val="en-US"/>
        </w:rPr>
        <w:t>Trammo</w:t>
      </w:r>
      <w:r w:rsidRPr="00412AF5">
        <w:rPr>
          <w:sz w:val="24"/>
          <w:szCs w:val="24"/>
        </w:rPr>
        <w:t xml:space="preserve"> </w:t>
      </w:r>
      <w:r>
        <w:rPr>
          <w:sz w:val="24"/>
          <w:szCs w:val="24"/>
          <w:lang w:val="en-US"/>
        </w:rPr>
        <w:t>AG</w:t>
      </w:r>
      <w:r w:rsidRPr="00412AF5">
        <w:rPr>
          <w:sz w:val="24"/>
          <w:szCs w:val="24"/>
        </w:rPr>
        <w:t>)</w:t>
      </w:r>
      <w:r>
        <w:rPr>
          <w:sz w:val="24"/>
          <w:szCs w:val="24"/>
        </w:rPr>
        <w:t xml:space="preserve">, строительство установки гранулированного сульфатанитрата аммония. </w:t>
      </w:r>
    </w:p>
    <w:p w:rsidR="001D6AFD" w:rsidRPr="00412AF5" w:rsidRDefault="00A37018" w:rsidP="001D6AFD">
      <w:pPr>
        <w:spacing w:line="276" w:lineRule="auto"/>
        <w:ind w:firstLine="709"/>
        <w:jc w:val="both"/>
        <w:rPr>
          <w:sz w:val="24"/>
          <w:szCs w:val="24"/>
        </w:rPr>
      </w:pPr>
      <w:r>
        <w:rPr>
          <w:sz w:val="24"/>
          <w:szCs w:val="24"/>
        </w:rPr>
        <w:t xml:space="preserve">Кроме того, </w:t>
      </w:r>
      <w:r w:rsidR="001D6AFD">
        <w:rPr>
          <w:sz w:val="24"/>
          <w:szCs w:val="24"/>
        </w:rPr>
        <w:t xml:space="preserve">2017 год стал началом реализации новых проектов на ПАО «Куйбышевазот» - строительство нового энергоэффективного агрегата карбамида совместно с предприятием </w:t>
      </w:r>
      <w:r w:rsidR="001D6AFD">
        <w:rPr>
          <w:sz w:val="24"/>
          <w:szCs w:val="24"/>
          <w:lang w:val="en-US"/>
        </w:rPr>
        <w:t>Stamicarbon</w:t>
      </w:r>
      <w:r w:rsidR="001D6AFD">
        <w:rPr>
          <w:sz w:val="24"/>
          <w:szCs w:val="24"/>
        </w:rPr>
        <w:t>,</w:t>
      </w:r>
      <w:r w:rsidR="001D6AFD" w:rsidRPr="00412AF5">
        <w:rPr>
          <w:sz w:val="24"/>
          <w:szCs w:val="24"/>
        </w:rPr>
        <w:t xml:space="preserve"> </w:t>
      </w:r>
      <w:r w:rsidR="001D6AFD">
        <w:rPr>
          <w:sz w:val="24"/>
          <w:szCs w:val="24"/>
        </w:rPr>
        <w:t>строительство установки по производству слабой азотной кислоты и аммиачной селитры и установки получения серной кислоты и олеума.</w:t>
      </w:r>
    </w:p>
    <w:p w:rsidR="001D6AFD" w:rsidRPr="00412AF5" w:rsidRDefault="001D6AFD" w:rsidP="001D6AFD">
      <w:pPr>
        <w:spacing w:line="276" w:lineRule="auto"/>
        <w:ind w:firstLine="709"/>
        <w:jc w:val="both"/>
        <w:rPr>
          <w:sz w:val="24"/>
          <w:szCs w:val="24"/>
        </w:rPr>
      </w:pPr>
      <w:r w:rsidRPr="00412AF5">
        <w:rPr>
          <w:sz w:val="24"/>
          <w:szCs w:val="24"/>
        </w:rPr>
        <w:t xml:space="preserve">Развитие производственной площадки ЗАО «СИБУР Холдинг» в Тольятти происходит по двум ключевым направлениям: модернизация ООО «Сибур Тольятти» и организация технопарка на свободных площадях. </w:t>
      </w:r>
    </w:p>
    <w:p w:rsidR="001D6AFD" w:rsidRDefault="001D6AFD" w:rsidP="001D6AFD">
      <w:pPr>
        <w:spacing w:line="276" w:lineRule="auto"/>
        <w:ind w:firstLine="709"/>
        <w:jc w:val="both"/>
        <w:rPr>
          <w:sz w:val="24"/>
          <w:szCs w:val="24"/>
        </w:rPr>
      </w:pPr>
      <w:r w:rsidRPr="005F2A7C">
        <w:rPr>
          <w:sz w:val="24"/>
          <w:szCs w:val="24"/>
        </w:rPr>
        <w:t xml:space="preserve">На ПАО «Тольяттиазот» реализуются инвестиционные проекты  по модернизации установок производства аммиака, строительства агрегата карбамида и реконструкции биологических очистных сооружений. </w:t>
      </w:r>
    </w:p>
    <w:p w:rsidR="007B727C" w:rsidRPr="005F2A7C" w:rsidRDefault="007B727C" w:rsidP="007B727C">
      <w:pPr>
        <w:spacing w:line="276" w:lineRule="auto"/>
        <w:ind w:firstLine="709"/>
        <w:jc w:val="both"/>
        <w:rPr>
          <w:sz w:val="24"/>
          <w:szCs w:val="24"/>
        </w:rPr>
      </w:pPr>
      <w:r w:rsidRPr="005F2A7C">
        <w:rPr>
          <w:sz w:val="24"/>
          <w:szCs w:val="24"/>
        </w:rPr>
        <w:t>На ООО «Сибур Тольятти» реализуются инвестиционные проекты, направленные на поддержание основных фондов и внедрение новых технологий, экономию сырья и энергоресурсов, автоматизацию производства, снижение негативного воздействия на окружающую среду, а также улучшение состояния промышленной безопасности.</w:t>
      </w:r>
    </w:p>
    <w:p w:rsidR="001D6AFD" w:rsidRPr="008D6039" w:rsidRDefault="001D6AFD" w:rsidP="001D6AFD">
      <w:pPr>
        <w:widowControl w:val="0"/>
        <w:autoSpaceDE w:val="0"/>
        <w:autoSpaceDN w:val="0"/>
        <w:adjustRightInd w:val="0"/>
        <w:spacing w:line="276" w:lineRule="auto"/>
        <w:ind w:firstLine="709"/>
        <w:jc w:val="both"/>
        <w:rPr>
          <w:sz w:val="24"/>
          <w:szCs w:val="24"/>
        </w:rPr>
      </w:pPr>
      <w:r w:rsidRPr="008D6039">
        <w:rPr>
          <w:sz w:val="24"/>
          <w:szCs w:val="24"/>
        </w:rPr>
        <w:t>Важную роль в повышении привлекательности городского округа Тольятти как места для вложения инвестиций и ведения бизнеса оказывает реализация проекта территории опережающего социально-экономического развития (ТОСЭР</w:t>
      </w:r>
      <w:r>
        <w:rPr>
          <w:sz w:val="24"/>
          <w:szCs w:val="24"/>
        </w:rPr>
        <w:t xml:space="preserve"> «Тольятти»</w:t>
      </w:r>
      <w:r w:rsidRPr="008D6039">
        <w:rPr>
          <w:sz w:val="24"/>
          <w:szCs w:val="24"/>
        </w:rPr>
        <w:t xml:space="preserve">). </w:t>
      </w:r>
    </w:p>
    <w:p w:rsidR="001D6AFD" w:rsidRPr="0015336A" w:rsidRDefault="001D6AFD" w:rsidP="001D6AFD">
      <w:pPr>
        <w:pStyle w:val="aff1"/>
        <w:spacing w:line="276" w:lineRule="auto"/>
        <w:rPr>
          <w:sz w:val="24"/>
          <w:szCs w:val="24"/>
        </w:rPr>
      </w:pPr>
      <w:r>
        <w:rPr>
          <w:sz w:val="24"/>
          <w:szCs w:val="24"/>
        </w:rPr>
        <w:t>В настоящее время</w:t>
      </w:r>
      <w:r w:rsidRPr="0015336A">
        <w:rPr>
          <w:sz w:val="24"/>
          <w:szCs w:val="24"/>
        </w:rPr>
        <w:t xml:space="preserve"> в городском округе Тольятти осуществляется работа «Одного окна» для потенциальных резидентов (оказываются консультации и поддержка в подготовке первичной документации для подачи заявки для получения статуса резидента), реализовываются меры маркетинга территории (проводятся презентации ТОСЭР</w:t>
      </w:r>
      <w:r w:rsidR="00A37018">
        <w:rPr>
          <w:sz w:val="24"/>
          <w:szCs w:val="24"/>
        </w:rPr>
        <w:t xml:space="preserve"> «Тольятти»</w:t>
      </w:r>
      <w:r w:rsidRPr="0015336A">
        <w:rPr>
          <w:sz w:val="24"/>
          <w:szCs w:val="24"/>
        </w:rPr>
        <w:t xml:space="preserve">, осуществляется информирование о преимуществах статуса резидента ТОСЭР </w:t>
      </w:r>
      <w:r w:rsidR="00A37018">
        <w:rPr>
          <w:sz w:val="24"/>
          <w:szCs w:val="24"/>
        </w:rPr>
        <w:t xml:space="preserve">«Тольятти» </w:t>
      </w:r>
      <w:r w:rsidRPr="0015336A">
        <w:rPr>
          <w:sz w:val="24"/>
          <w:szCs w:val="24"/>
        </w:rPr>
        <w:t>во время встреч с различными делегациями), ведется работа по вовлечению городского сообщества.</w:t>
      </w:r>
    </w:p>
    <w:p w:rsidR="005D4B24" w:rsidRPr="005D4B24" w:rsidRDefault="005D4B24" w:rsidP="005D4B24">
      <w:pPr>
        <w:pStyle w:val="ConsPlusNonformat"/>
        <w:numPr>
          <w:ilvl w:val="0"/>
          <w:numId w:val="5"/>
        </w:numPr>
        <w:tabs>
          <w:tab w:val="left" w:pos="142"/>
        </w:tabs>
        <w:suppressAutoHyphens w:val="0"/>
        <w:autoSpaceDN w:val="0"/>
        <w:adjustRightInd w:val="0"/>
        <w:spacing w:line="276" w:lineRule="auto"/>
        <w:ind w:left="0" w:firstLine="709"/>
        <w:jc w:val="both"/>
        <w:rPr>
          <w:rFonts w:ascii="Times New Roman" w:hAnsi="Times New Roman" w:cs="Times New Roman"/>
          <w:sz w:val="24"/>
          <w:szCs w:val="24"/>
        </w:rPr>
      </w:pPr>
      <w:r w:rsidRPr="005D4B24">
        <w:rPr>
          <w:rFonts w:ascii="Times New Roman" w:hAnsi="Times New Roman" w:cs="Times New Roman"/>
          <w:sz w:val="24"/>
          <w:szCs w:val="24"/>
        </w:rPr>
        <w:t xml:space="preserve">По состоянию на 20.10.2017 г. 14  компаний включены в реестр резидентов территории опережающего развития, созданных на территории моногородов РФ (ООО «АКОМ-Индастриал», ООО «БИА», ООО «СП «Граниферт», ООО «ТОР ТЗПО» ООО «Сарди Пекеджинг», ООО «БРАЙС», ООО «ЗЕТТА», ООО «Металлист-Тольятти», ООО «АКТИВ ТМК», ООО «ГРАН ЛИМИТЕД», ООО «ТТС ЗАКАЛКА», ООО «ХМ РУС», ООО «Завод КПД», ООО «НТЦ Евровент»). </w:t>
      </w:r>
    </w:p>
    <w:p w:rsidR="005D4B24" w:rsidRDefault="005D4B24" w:rsidP="005D4B24">
      <w:pPr>
        <w:pStyle w:val="ConsPlusNonformat"/>
        <w:numPr>
          <w:ilvl w:val="0"/>
          <w:numId w:val="5"/>
        </w:numPr>
        <w:tabs>
          <w:tab w:val="left" w:pos="142"/>
        </w:tabs>
        <w:suppressAutoHyphens w:val="0"/>
        <w:autoSpaceDN w:val="0"/>
        <w:adjustRightInd w:val="0"/>
        <w:spacing w:line="276" w:lineRule="auto"/>
        <w:ind w:left="0" w:firstLine="709"/>
        <w:jc w:val="both"/>
        <w:rPr>
          <w:rFonts w:ascii="Times New Roman" w:hAnsi="Times New Roman" w:cs="Times New Roman"/>
          <w:sz w:val="24"/>
          <w:szCs w:val="24"/>
        </w:rPr>
      </w:pPr>
      <w:r w:rsidRPr="005D4B24">
        <w:rPr>
          <w:rFonts w:ascii="Times New Roman" w:hAnsi="Times New Roman" w:cs="Times New Roman"/>
          <w:sz w:val="24"/>
          <w:szCs w:val="24"/>
        </w:rPr>
        <w:t>4 заявки  (ООО «БИСКО ТТИ», ООО КФ «Сласти», ООО МЦ «Губерния», ООО «КОЛОРАНТ-Т») находятся на рассмотрении в Региональной комиссии по рассмотрению заявок на присвоение статуса резидента ТОСЭР «Тольятти»</w:t>
      </w:r>
      <w:r>
        <w:rPr>
          <w:rFonts w:ascii="Times New Roman" w:hAnsi="Times New Roman" w:cs="Times New Roman"/>
          <w:sz w:val="24"/>
          <w:szCs w:val="24"/>
        </w:rPr>
        <w:t>.</w:t>
      </w:r>
    </w:p>
    <w:p w:rsidR="005D4B24" w:rsidRPr="005D4B24" w:rsidRDefault="005D4B24" w:rsidP="005D4B24">
      <w:pPr>
        <w:pStyle w:val="afc"/>
        <w:widowControl w:val="0"/>
        <w:numPr>
          <w:ilvl w:val="0"/>
          <w:numId w:val="5"/>
        </w:numPr>
        <w:tabs>
          <w:tab w:val="left" w:pos="142"/>
        </w:tabs>
        <w:suppressAutoHyphens w:val="0"/>
        <w:autoSpaceDN w:val="0"/>
        <w:adjustRightInd w:val="0"/>
        <w:spacing w:line="276" w:lineRule="auto"/>
        <w:ind w:left="0" w:firstLine="709"/>
        <w:contextualSpacing/>
        <w:jc w:val="both"/>
        <w:rPr>
          <w:szCs w:val="24"/>
        </w:rPr>
      </w:pPr>
      <w:r w:rsidRPr="005D4B24">
        <w:rPr>
          <w:szCs w:val="28"/>
          <w:shd w:val="clear" w:color="auto" w:fill="DAFEE9" w:themeFill="background1"/>
        </w:rPr>
        <w:t xml:space="preserve">По </w:t>
      </w:r>
      <w:r w:rsidRPr="005D4B24">
        <w:rPr>
          <w:szCs w:val="28"/>
          <w:lang w:eastAsia="ru-RU"/>
        </w:rPr>
        <w:t>14-ти компаниям</w:t>
      </w:r>
      <w:r w:rsidRPr="005D4B24">
        <w:rPr>
          <w:szCs w:val="28"/>
          <w:shd w:val="clear" w:color="auto" w:fill="DAFEE9" w:themeFill="background1"/>
        </w:rPr>
        <w:t>, с которыми</w:t>
      </w:r>
      <w:r w:rsidRPr="005D4B24">
        <w:rPr>
          <w:szCs w:val="28"/>
        </w:rPr>
        <w:t xml:space="preserve"> подписаны соглашения, общий объем инвестиций составляет 3,5 млрд. руб., в том числе 351 млн. руб. в 2017 году,  с планом создания </w:t>
      </w:r>
      <w:r>
        <w:rPr>
          <w:szCs w:val="28"/>
        </w:rPr>
        <w:t xml:space="preserve">порядка </w:t>
      </w:r>
      <w:r w:rsidRPr="005D4B24">
        <w:rPr>
          <w:szCs w:val="28"/>
        </w:rPr>
        <w:t>1</w:t>
      </w:r>
      <w:r>
        <w:rPr>
          <w:szCs w:val="28"/>
        </w:rPr>
        <w:t>,</w:t>
      </w:r>
      <w:r w:rsidRPr="005D4B24">
        <w:rPr>
          <w:szCs w:val="28"/>
        </w:rPr>
        <w:t>3</w:t>
      </w:r>
      <w:r w:rsidR="00B347E3">
        <w:rPr>
          <w:szCs w:val="28"/>
        </w:rPr>
        <w:t>5</w:t>
      </w:r>
      <w:r w:rsidRPr="005D4B24">
        <w:rPr>
          <w:szCs w:val="28"/>
        </w:rPr>
        <w:t xml:space="preserve"> </w:t>
      </w:r>
      <w:r>
        <w:rPr>
          <w:szCs w:val="28"/>
        </w:rPr>
        <w:t>тыс.</w:t>
      </w:r>
      <w:r w:rsidRPr="005D4B24">
        <w:rPr>
          <w:szCs w:val="28"/>
        </w:rPr>
        <w:t xml:space="preserve">новых рабочих мест, из них </w:t>
      </w:r>
      <w:r w:rsidR="00B347E3">
        <w:rPr>
          <w:szCs w:val="28"/>
        </w:rPr>
        <w:t>0,4 тыс.</w:t>
      </w:r>
      <w:r w:rsidRPr="005D4B24">
        <w:rPr>
          <w:szCs w:val="28"/>
        </w:rPr>
        <w:t xml:space="preserve"> – в 2017 году. </w:t>
      </w:r>
      <w:r w:rsidRPr="005D4B24">
        <w:rPr>
          <w:szCs w:val="24"/>
        </w:rPr>
        <w:t>Еще 16 компаний готовят заявочную документацию.</w:t>
      </w:r>
    </w:p>
    <w:p w:rsidR="001D6AFD" w:rsidRPr="0015336A" w:rsidRDefault="001D6AFD" w:rsidP="001D6AFD">
      <w:pPr>
        <w:pStyle w:val="afc"/>
        <w:tabs>
          <w:tab w:val="left" w:pos="0"/>
          <w:tab w:val="left" w:pos="426"/>
        </w:tabs>
        <w:suppressAutoHyphens w:val="0"/>
        <w:spacing w:line="276" w:lineRule="auto"/>
        <w:ind w:left="0" w:firstLine="709"/>
        <w:jc w:val="both"/>
        <w:rPr>
          <w:szCs w:val="24"/>
        </w:rPr>
      </w:pPr>
      <w:r w:rsidRPr="002A0D73">
        <w:rPr>
          <w:szCs w:val="24"/>
        </w:rPr>
        <w:t>Оказывается содействие потенциальным инвесторам в подборе свободных производственных площадей по их заявленным требованиям – за истекший период 2017 года - 10 обратившихся. По мере поступления актуализируется информация в базе свободных инвестиционных площадок, которая также в обязательном порядке обновляется и в разделе «Инвестиционная карта» на Инвестиционном портале городского округа Тольятти (за истекший период 2017 года добавлено 13 объектов).</w:t>
      </w:r>
      <w:r w:rsidRPr="0015336A">
        <w:rPr>
          <w:szCs w:val="24"/>
        </w:rPr>
        <w:t xml:space="preserve"> </w:t>
      </w:r>
    </w:p>
    <w:p w:rsidR="001D6AFD" w:rsidRPr="0015336A" w:rsidRDefault="001D6AFD" w:rsidP="001D6AFD">
      <w:pPr>
        <w:tabs>
          <w:tab w:val="left" w:pos="0"/>
          <w:tab w:val="left" w:pos="284"/>
        </w:tabs>
        <w:suppressAutoHyphens w:val="0"/>
        <w:spacing w:line="276" w:lineRule="auto"/>
        <w:ind w:firstLine="709"/>
        <w:jc w:val="both"/>
        <w:rPr>
          <w:sz w:val="24"/>
          <w:szCs w:val="24"/>
        </w:rPr>
      </w:pPr>
      <w:r w:rsidRPr="0015336A">
        <w:rPr>
          <w:sz w:val="24"/>
          <w:szCs w:val="24"/>
        </w:rPr>
        <w:t>В целях оптимизации информационного ресурса - Инвестиционного портала городского округа Тольятти для пользователей из разных стран, были созданы его версии на французском и немецком языках. Также в разработке находится версия на китайском языке. Англоязычная версия портала уже существовала.</w:t>
      </w:r>
    </w:p>
    <w:p w:rsidR="001D6AFD" w:rsidRPr="0015336A" w:rsidRDefault="001D6AFD" w:rsidP="001D6AFD">
      <w:pPr>
        <w:pStyle w:val="aff1"/>
        <w:numPr>
          <w:ilvl w:val="0"/>
          <w:numId w:val="5"/>
        </w:numPr>
        <w:spacing w:line="276" w:lineRule="auto"/>
        <w:ind w:left="0" w:firstLine="709"/>
        <w:rPr>
          <w:sz w:val="24"/>
          <w:szCs w:val="24"/>
        </w:rPr>
      </w:pPr>
      <w:r w:rsidRPr="0015336A">
        <w:rPr>
          <w:sz w:val="24"/>
          <w:szCs w:val="24"/>
        </w:rPr>
        <w:t>На территории городского округа Тольятти имеется целый комплекс инфраструктурных площадок, где реализуется поддержка приоритетных направлений: для реализации проектов в сфере химической промышленности, по инициативе холдинга «СИБУР», создан Индустриальный парк на базе предприятия «Тольяттисинтез»</w:t>
      </w:r>
      <w:r>
        <w:rPr>
          <w:sz w:val="24"/>
          <w:szCs w:val="24"/>
        </w:rPr>
        <w:t xml:space="preserve"> (ИП «Тольяттисинтез»)</w:t>
      </w:r>
      <w:r w:rsidRPr="0015336A">
        <w:rPr>
          <w:sz w:val="24"/>
          <w:szCs w:val="24"/>
        </w:rPr>
        <w:t>; для реализации инновационных проектов и проектов в сфере IT также создана отдельная площадка с особыми условиями и собственной инфраструктурой, предназначенной именно для инноваций, — Технопарк в сфере высоких технологий «Жигулевская долина»</w:t>
      </w:r>
      <w:r>
        <w:rPr>
          <w:sz w:val="24"/>
          <w:szCs w:val="24"/>
        </w:rPr>
        <w:t xml:space="preserve"> (Технопарк) и </w:t>
      </w:r>
      <w:r w:rsidRPr="00A25AB3">
        <w:rPr>
          <w:sz w:val="24"/>
          <w:szCs w:val="24"/>
        </w:rPr>
        <w:t>«Жигулевская долина - 2»</w:t>
      </w:r>
      <w:r w:rsidRPr="0015336A">
        <w:rPr>
          <w:sz w:val="24"/>
          <w:szCs w:val="24"/>
        </w:rPr>
        <w:t>.</w:t>
      </w:r>
    </w:p>
    <w:p w:rsidR="001D6AFD" w:rsidRPr="008D6039" w:rsidRDefault="001D6AFD" w:rsidP="001D6AFD">
      <w:pPr>
        <w:widowControl w:val="0"/>
        <w:autoSpaceDE w:val="0"/>
        <w:autoSpaceDN w:val="0"/>
        <w:adjustRightInd w:val="0"/>
        <w:spacing w:line="276" w:lineRule="auto"/>
        <w:ind w:firstLine="708"/>
        <w:jc w:val="both"/>
        <w:rPr>
          <w:sz w:val="24"/>
          <w:szCs w:val="24"/>
        </w:rPr>
      </w:pPr>
      <w:r w:rsidRPr="0015336A">
        <w:rPr>
          <w:sz w:val="24"/>
          <w:szCs w:val="24"/>
        </w:rPr>
        <w:t>По состоянию на 01.10.</w:t>
      </w:r>
      <w:r w:rsidRPr="002A0D73">
        <w:rPr>
          <w:sz w:val="24"/>
          <w:szCs w:val="24"/>
        </w:rPr>
        <w:t xml:space="preserve">2017 г. одобрены для реализации на территории Технопарка  проекты 226 компаний. Резидентами Технопарка </w:t>
      </w:r>
      <w:r w:rsidRPr="00536336">
        <w:rPr>
          <w:sz w:val="24"/>
          <w:szCs w:val="24"/>
        </w:rPr>
        <w:t>являются 155 компаний, в том числе на территории технопарка размещается 61 компания. Проект</w:t>
      </w:r>
      <w:r w:rsidRPr="002A0D73">
        <w:rPr>
          <w:sz w:val="24"/>
          <w:szCs w:val="24"/>
        </w:rPr>
        <w:t xml:space="preserve"> реализован. Фактически освоено  5 771,4 млн. руб., в том числе из федерального бюджета – 1 982,3  млн. руб.; областного бюджета  -  3 789,1  млн. руб</w:t>
      </w:r>
      <w:r w:rsidRPr="008D6039">
        <w:rPr>
          <w:sz w:val="24"/>
          <w:szCs w:val="24"/>
        </w:rPr>
        <w:t xml:space="preserve">. </w:t>
      </w:r>
    </w:p>
    <w:p w:rsidR="001D6AFD" w:rsidRPr="008D6039" w:rsidRDefault="001D6AFD" w:rsidP="001D6AFD">
      <w:pPr>
        <w:widowControl w:val="0"/>
        <w:autoSpaceDE w:val="0"/>
        <w:autoSpaceDN w:val="0"/>
        <w:adjustRightInd w:val="0"/>
        <w:spacing w:line="276" w:lineRule="auto"/>
        <w:ind w:firstLine="567"/>
        <w:jc w:val="both"/>
        <w:rPr>
          <w:sz w:val="24"/>
          <w:szCs w:val="24"/>
        </w:rPr>
      </w:pPr>
      <w:r w:rsidRPr="008D6039">
        <w:rPr>
          <w:sz w:val="24"/>
          <w:szCs w:val="24"/>
        </w:rPr>
        <w:t xml:space="preserve">На территории технопарка «Жигулевская долина - 2» уже имеются собственные очистные сооружения и котельная. В настоящее время 8 резидентов технопарка в сфере высоких технологий «Жигулевская долина»  инвестируют в строительство и запуск собственных производств на территории «Жигулевская долина - 2». Планируемая общая стоимость проекта – </w:t>
      </w:r>
      <w:r>
        <w:rPr>
          <w:sz w:val="24"/>
          <w:szCs w:val="24"/>
        </w:rPr>
        <w:t>919,7</w:t>
      </w:r>
      <w:r w:rsidRPr="008D6039">
        <w:rPr>
          <w:sz w:val="24"/>
          <w:szCs w:val="24"/>
        </w:rPr>
        <w:t xml:space="preserve"> млн. руб. за счет средств потенциальных инвесторов, некоммерческой организации «Фонд развития моногородов» и областного бюджета. </w:t>
      </w:r>
    </w:p>
    <w:p w:rsidR="001D6AFD" w:rsidRPr="00A25AB3" w:rsidRDefault="001D6AFD" w:rsidP="001D6AFD">
      <w:pPr>
        <w:widowControl w:val="0"/>
        <w:numPr>
          <w:ilvl w:val="0"/>
          <w:numId w:val="5"/>
        </w:numPr>
        <w:tabs>
          <w:tab w:val="left" w:pos="567"/>
        </w:tabs>
        <w:autoSpaceDE w:val="0"/>
        <w:autoSpaceDN w:val="0"/>
        <w:adjustRightInd w:val="0"/>
        <w:spacing w:line="276" w:lineRule="auto"/>
        <w:ind w:left="0" w:firstLine="709"/>
        <w:jc w:val="both"/>
        <w:rPr>
          <w:sz w:val="24"/>
          <w:szCs w:val="24"/>
        </w:rPr>
      </w:pPr>
      <w:r w:rsidRPr="00A25AB3">
        <w:rPr>
          <w:sz w:val="24"/>
          <w:szCs w:val="24"/>
        </w:rPr>
        <w:t>Для реализации резидентами технопарка своих инвестиционных проектов требуется осуществить на резервных территориях технопарка (оценочно): строительство подстанций на 4,</w:t>
      </w:r>
      <w:r w:rsidR="008A7DBA" w:rsidRPr="00A25AB3">
        <w:rPr>
          <w:sz w:val="24"/>
          <w:szCs w:val="24"/>
        </w:rPr>
        <w:t>16 МВт</w:t>
      </w:r>
      <w:r w:rsidRPr="00A25AB3">
        <w:rPr>
          <w:sz w:val="24"/>
          <w:szCs w:val="24"/>
        </w:rPr>
        <w:t xml:space="preserve">; прокладку 1,8 км кабельной линии 10 </w:t>
      </w:r>
      <w:r w:rsidR="008A7DBA" w:rsidRPr="00A25AB3">
        <w:rPr>
          <w:sz w:val="24"/>
          <w:szCs w:val="24"/>
        </w:rPr>
        <w:t>кВ; прокладку</w:t>
      </w:r>
      <w:r w:rsidRPr="00A25AB3">
        <w:rPr>
          <w:sz w:val="24"/>
          <w:szCs w:val="24"/>
        </w:rPr>
        <w:t xml:space="preserve"> 0,6 км кабельной линии 0,4 кВ; строительство 0,4 км водопровода; монтаж 1 км хозяйственно-бытовой канализации; монтаж 0,2 км ливневой канализации; строительство 0,375 км подъездных дорог с благоустройством; установку 1 км ограждения; прокладку 1 км тепловых сетей.  </w:t>
      </w:r>
    </w:p>
    <w:p w:rsidR="001D6AFD" w:rsidRPr="008D6039" w:rsidRDefault="001D6AFD" w:rsidP="001D6AFD">
      <w:pPr>
        <w:spacing w:line="276" w:lineRule="auto"/>
        <w:ind w:firstLine="708"/>
        <w:jc w:val="both"/>
        <w:rPr>
          <w:sz w:val="24"/>
          <w:szCs w:val="24"/>
        </w:rPr>
      </w:pPr>
      <w:r w:rsidRPr="008D6039">
        <w:rPr>
          <w:sz w:val="24"/>
          <w:szCs w:val="24"/>
        </w:rPr>
        <w:t>По состоянию на 01.</w:t>
      </w:r>
      <w:r>
        <w:rPr>
          <w:sz w:val="24"/>
          <w:szCs w:val="24"/>
        </w:rPr>
        <w:t>10</w:t>
      </w:r>
      <w:r w:rsidRPr="008D6039">
        <w:rPr>
          <w:sz w:val="24"/>
          <w:szCs w:val="24"/>
        </w:rPr>
        <w:t xml:space="preserve">.2017 г. резидентами </w:t>
      </w:r>
      <w:r>
        <w:rPr>
          <w:sz w:val="24"/>
          <w:szCs w:val="24"/>
        </w:rPr>
        <w:t>ИП</w:t>
      </w:r>
      <w:r w:rsidRPr="008D6039">
        <w:rPr>
          <w:sz w:val="24"/>
          <w:szCs w:val="24"/>
        </w:rPr>
        <w:t xml:space="preserve"> «Тольяттисинтез» являются 8 компаний, с общим объемом заявленных </w:t>
      </w:r>
      <w:r w:rsidRPr="002A0D73">
        <w:rPr>
          <w:sz w:val="24"/>
          <w:szCs w:val="24"/>
        </w:rPr>
        <w:t>инвестиций 2 211 млн. руб</w:t>
      </w:r>
      <w:r w:rsidRPr="008D6039">
        <w:rPr>
          <w:sz w:val="24"/>
          <w:szCs w:val="24"/>
        </w:rPr>
        <w:t>.</w:t>
      </w:r>
    </w:p>
    <w:p w:rsidR="00D6431A" w:rsidRPr="00D6431A" w:rsidRDefault="00D6431A" w:rsidP="00D6431A">
      <w:pPr>
        <w:spacing w:line="276" w:lineRule="auto"/>
        <w:ind w:firstLine="709"/>
        <w:jc w:val="both"/>
        <w:rPr>
          <w:sz w:val="24"/>
          <w:szCs w:val="24"/>
        </w:rPr>
      </w:pPr>
      <w:r w:rsidRPr="00D6431A">
        <w:rPr>
          <w:sz w:val="24"/>
          <w:szCs w:val="24"/>
        </w:rPr>
        <w:t>Ведется строительство инфраструктуры второй очереди ОЭЗ «Тольятти» площадью 246 га, завершить работы планируется до конца 2017 года.</w:t>
      </w:r>
    </w:p>
    <w:p w:rsidR="00D6431A" w:rsidRDefault="00D6431A" w:rsidP="00D6431A">
      <w:pPr>
        <w:spacing w:line="276" w:lineRule="auto"/>
        <w:ind w:firstLine="708"/>
        <w:jc w:val="both"/>
        <w:rPr>
          <w:sz w:val="24"/>
          <w:szCs w:val="24"/>
        </w:rPr>
      </w:pPr>
      <w:r w:rsidRPr="00D6431A">
        <w:rPr>
          <w:sz w:val="24"/>
          <w:szCs w:val="24"/>
        </w:rPr>
        <w:t>В настоящее время резидентами ОЭЗ «Тольятти» являются 18 российских и иностранных компаний с заявленным объемом инвестиций 22,3 млрд. рублей.</w:t>
      </w:r>
      <w:r>
        <w:rPr>
          <w:sz w:val="24"/>
          <w:szCs w:val="24"/>
        </w:rPr>
        <w:t xml:space="preserve"> </w:t>
      </w:r>
    </w:p>
    <w:p w:rsidR="007B727C" w:rsidRDefault="001D6AFD" w:rsidP="001D6AFD">
      <w:pPr>
        <w:spacing w:line="276" w:lineRule="auto"/>
        <w:ind w:firstLine="708"/>
        <w:jc w:val="both"/>
        <w:rPr>
          <w:sz w:val="24"/>
          <w:szCs w:val="24"/>
        </w:rPr>
      </w:pPr>
      <w:r>
        <w:rPr>
          <w:sz w:val="24"/>
          <w:szCs w:val="24"/>
        </w:rPr>
        <w:t xml:space="preserve">Шесть </w:t>
      </w:r>
      <w:r w:rsidRPr="00D440AD">
        <w:rPr>
          <w:sz w:val="24"/>
          <w:szCs w:val="24"/>
        </w:rPr>
        <w:t>компаний - резидентов уже запустили производство в тестовом режиме: ООО «Нобель Автомотив Русиа» (Нидерланды), ООО «СИЕ Аутомотив Рус» (Испания), ООО «Праксайр Самара» (США), ООО «Атсумитек Тойота Цусе Рус» (Япония), ООО «Хай-Лекс Рус» (Япония), ООО «Эдша Тольятти» (Германия).</w:t>
      </w:r>
      <w:r>
        <w:rPr>
          <w:sz w:val="24"/>
          <w:szCs w:val="24"/>
        </w:rPr>
        <w:t xml:space="preserve"> </w:t>
      </w:r>
    </w:p>
    <w:p w:rsidR="001D6AFD" w:rsidRPr="00D440AD" w:rsidRDefault="001D6AFD" w:rsidP="001D6AFD">
      <w:pPr>
        <w:spacing w:line="276" w:lineRule="auto"/>
        <w:ind w:firstLine="708"/>
        <w:jc w:val="both"/>
        <w:rPr>
          <w:sz w:val="24"/>
          <w:szCs w:val="24"/>
        </w:rPr>
      </w:pPr>
      <w:r>
        <w:rPr>
          <w:sz w:val="24"/>
          <w:szCs w:val="24"/>
        </w:rPr>
        <w:t>Два</w:t>
      </w:r>
      <w:r w:rsidRPr="00D440AD">
        <w:rPr>
          <w:sz w:val="24"/>
          <w:szCs w:val="24"/>
        </w:rPr>
        <w:t xml:space="preserve"> завода </w:t>
      </w:r>
      <w:r w:rsidR="00D6431A">
        <w:rPr>
          <w:sz w:val="24"/>
          <w:szCs w:val="24"/>
        </w:rPr>
        <w:t>(</w:t>
      </w:r>
      <w:r w:rsidR="00D6431A" w:rsidRPr="00D6431A">
        <w:rPr>
          <w:sz w:val="24"/>
          <w:szCs w:val="24"/>
        </w:rPr>
        <w:t xml:space="preserve">ООО «Тольяттинская бумажная фабрика» и ООО «Озон Фарм») </w:t>
      </w:r>
      <w:r w:rsidRPr="00D440AD">
        <w:rPr>
          <w:sz w:val="24"/>
          <w:szCs w:val="24"/>
        </w:rPr>
        <w:t>планируют запуск в 2017 году.</w:t>
      </w:r>
      <w:r>
        <w:rPr>
          <w:sz w:val="24"/>
          <w:szCs w:val="24"/>
        </w:rPr>
        <w:t xml:space="preserve"> </w:t>
      </w:r>
      <w:r w:rsidRPr="00D440AD">
        <w:rPr>
          <w:sz w:val="24"/>
          <w:szCs w:val="24"/>
        </w:rPr>
        <w:t xml:space="preserve">Семь компаний - резидентов активно ведут строительно-монтажные работы на своих площадках. </w:t>
      </w:r>
    </w:p>
    <w:p w:rsidR="001D6AFD" w:rsidRPr="008D6039" w:rsidRDefault="001D6AFD" w:rsidP="001D6AFD">
      <w:pPr>
        <w:spacing w:line="276" w:lineRule="auto"/>
        <w:ind w:firstLine="708"/>
        <w:jc w:val="both"/>
        <w:rPr>
          <w:sz w:val="24"/>
          <w:szCs w:val="24"/>
        </w:rPr>
      </w:pPr>
      <w:r w:rsidRPr="008D6039">
        <w:rPr>
          <w:sz w:val="24"/>
          <w:szCs w:val="24"/>
        </w:rPr>
        <w:t xml:space="preserve">Фактически </w:t>
      </w:r>
      <w:r w:rsidR="008A7DBA" w:rsidRPr="008D6039">
        <w:rPr>
          <w:sz w:val="24"/>
          <w:szCs w:val="24"/>
        </w:rPr>
        <w:t>освоено по</w:t>
      </w:r>
      <w:r w:rsidRPr="008D6039">
        <w:rPr>
          <w:sz w:val="24"/>
          <w:szCs w:val="24"/>
        </w:rPr>
        <w:t xml:space="preserve"> состоянию на </w:t>
      </w:r>
      <w:r w:rsidRPr="002A0D73">
        <w:rPr>
          <w:sz w:val="24"/>
          <w:szCs w:val="24"/>
        </w:rPr>
        <w:t xml:space="preserve">01.10.2017 года 15 494,9 млн. руб., в том числе из: федерального бюджета – 5 650,1 млн. руб.; бюджета Самарской </w:t>
      </w:r>
      <w:r w:rsidR="008A7DBA" w:rsidRPr="002A0D73">
        <w:rPr>
          <w:sz w:val="24"/>
          <w:szCs w:val="24"/>
        </w:rPr>
        <w:t>области -</w:t>
      </w:r>
      <w:r w:rsidRPr="002A0D73">
        <w:rPr>
          <w:sz w:val="24"/>
          <w:szCs w:val="24"/>
        </w:rPr>
        <w:t xml:space="preserve"> 547,9 млн. руб.; бюджета муниципального района Ставропольский Самарской области -11,3 млн. руб.; внебюджетных источников -  9 285,6 млн. руб.</w:t>
      </w:r>
      <w:r w:rsidRPr="008D6039">
        <w:rPr>
          <w:sz w:val="24"/>
          <w:szCs w:val="24"/>
        </w:rPr>
        <w:t xml:space="preserve"> </w:t>
      </w:r>
    </w:p>
    <w:p w:rsidR="00065118" w:rsidRPr="0015336A" w:rsidRDefault="00065118" w:rsidP="00065118">
      <w:pPr>
        <w:tabs>
          <w:tab w:val="left" w:pos="0"/>
          <w:tab w:val="left" w:pos="284"/>
        </w:tabs>
        <w:suppressAutoHyphens w:val="0"/>
        <w:spacing w:line="276" w:lineRule="auto"/>
        <w:ind w:firstLine="709"/>
        <w:jc w:val="both"/>
        <w:rPr>
          <w:sz w:val="24"/>
          <w:szCs w:val="24"/>
        </w:rPr>
      </w:pPr>
      <w:r w:rsidRPr="00065118">
        <w:rPr>
          <w:sz w:val="24"/>
          <w:szCs w:val="24"/>
        </w:rPr>
        <w:t xml:space="preserve">25.04.2017 г. региональным проектным офисом утверждена программа «Комплексное развитие моногорода – городской округ Тольятти», целью которой является </w:t>
      </w:r>
      <w:r w:rsidRPr="0015336A">
        <w:rPr>
          <w:sz w:val="24"/>
          <w:szCs w:val="24"/>
        </w:rPr>
        <w:t>создание новых рабочих мест, привлечение инвестиций в основной капитал, улучшение качества городской среды, снижение зависимости моногорода от деятельности градообразующего предприятия.</w:t>
      </w:r>
    </w:p>
    <w:p w:rsidR="007B1195" w:rsidRPr="0015336A" w:rsidRDefault="00065118" w:rsidP="007B1195">
      <w:pPr>
        <w:tabs>
          <w:tab w:val="left" w:pos="0"/>
          <w:tab w:val="left" w:pos="284"/>
        </w:tabs>
        <w:suppressAutoHyphens w:val="0"/>
        <w:spacing w:line="276" w:lineRule="auto"/>
        <w:ind w:firstLine="709"/>
        <w:jc w:val="both"/>
        <w:rPr>
          <w:sz w:val="24"/>
          <w:szCs w:val="24"/>
        </w:rPr>
      </w:pPr>
      <w:r w:rsidRPr="00065118">
        <w:rPr>
          <w:bCs/>
          <w:sz w:val="24"/>
          <w:szCs w:val="24"/>
        </w:rPr>
        <w:t xml:space="preserve">В рамках программы предусмотрена реализация </w:t>
      </w:r>
      <w:r w:rsidR="007B1195">
        <w:rPr>
          <w:bCs/>
          <w:sz w:val="24"/>
          <w:szCs w:val="24"/>
        </w:rPr>
        <w:t>порядка</w:t>
      </w:r>
      <w:r w:rsidRPr="00065118">
        <w:rPr>
          <w:bCs/>
          <w:sz w:val="24"/>
          <w:szCs w:val="24"/>
        </w:rPr>
        <w:t xml:space="preserve"> 40 проектов по </w:t>
      </w:r>
      <w:r w:rsidR="00053D89">
        <w:rPr>
          <w:bCs/>
          <w:sz w:val="24"/>
          <w:szCs w:val="24"/>
        </w:rPr>
        <w:t xml:space="preserve">различным </w:t>
      </w:r>
      <w:r w:rsidRPr="00065118">
        <w:rPr>
          <w:bCs/>
          <w:sz w:val="24"/>
          <w:szCs w:val="24"/>
        </w:rPr>
        <w:t>направлениям</w:t>
      </w:r>
      <w:r w:rsidRPr="007B1195">
        <w:rPr>
          <w:bCs/>
          <w:sz w:val="24"/>
          <w:szCs w:val="24"/>
        </w:rPr>
        <w:t xml:space="preserve">. </w:t>
      </w:r>
      <w:r w:rsidR="007B1195" w:rsidRPr="007B1195">
        <w:rPr>
          <w:bCs/>
          <w:sz w:val="24"/>
          <w:szCs w:val="24"/>
        </w:rPr>
        <w:t xml:space="preserve">Общий бюджет программы составляет </w:t>
      </w:r>
      <w:r w:rsidR="005D4B24" w:rsidRPr="005D4B24">
        <w:rPr>
          <w:bCs/>
          <w:sz w:val="24"/>
          <w:szCs w:val="24"/>
        </w:rPr>
        <w:t xml:space="preserve">около </w:t>
      </w:r>
      <w:r w:rsidR="007B1195" w:rsidRPr="005D4B24">
        <w:rPr>
          <w:bCs/>
          <w:sz w:val="24"/>
          <w:szCs w:val="24"/>
        </w:rPr>
        <w:t>2</w:t>
      </w:r>
      <w:r w:rsidR="005D4B24" w:rsidRPr="005D4B24">
        <w:rPr>
          <w:bCs/>
          <w:sz w:val="24"/>
          <w:szCs w:val="24"/>
        </w:rPr>
        <w:t>7,0 млрд</w:t>
      </w:r>
      <w:r w:rsidR="007B1195" w:rsidRPr="007B1195">
        <w:rPr>
          <w:bCs/>
          <w:sz w:val="24"/>
          <w:szCs w:val="24"/>
        </w:rPr>
        <w:t>. руб.</w:t>
      </w:r>
      <w:r w:rsidR="00BB6948">
        <w:rPr>
          <w:bCs/>
          <w:sz w:val="24"/>
          <w:szCs w:val="24"/>
        </w:rPr>
        <w:t xml:space="preserve"> </w:t>
      </w:r>
      <w:r w:rsidR="007B1195" w:rsidRPr="007B1195">
        <w:rPr>
          <w:bCs/>
          <w:sz w:val="24"/>
          <w:szCs w:val="24"/>
        </w:rPr>
        <w:t>(</w:t>
      </w:r>
      <w:r w:rsidR="007B1195" w:rsidRPr="007B1195">
        <w:rPr>
          <w:sz w:val="24"/>
          <w:szCs w:val="24"/>
        </w:rPr>
        <w:t>срок реализации с декабря 2016 года по декабрь 2025 года).</w:t>
      </w:r>
      <w:r w:rsidR="007B1195" w:rsidRPr="0015336A">
        <w:rPr>
          <w:sz w:val="24"/>
          <w:szCs w:val="24"/>
        </w:rPr>
        <w:t xml:space="preserve"> </w:t>
      </w:r>
    </w:p>
    <w:p w:rsidR="001D6AFD" w:rsidRPr="0015336A" w:rsidRDefault="001D6AFD" w:rsidP="001D6AFD">
      <w:pPr>
        <w:tabs>
          <w:tab w:val="left" w:pos="0"/>
          <w:tab w:val="left" w:pos="284"/>
        </w:tabs>
        <w:spacing w:line="276" w:lineRule="auto"/>
        <w:ind w:firstLine="709"/>
        <w:jc w:val="both"/>
        <w:rPr>
          <w:sz w:val="24"/>
          <w:szCs w:val="24"/>
        </w:rPr>
      </w:pPr>
      <w:r w:rsidRPr="0015336A">
        <w:rPr>
          <w:sz w:val="24"/>
          <w:szCs w:val="24"/>
        </w:rPr>
        <w:t>В соответствии с постановлением администрации городского округа Тольятти от 29.05.2017г №1709-п/1 создан Управляющий совет по вопросам развития городского округа Тольятти как моногорода, утвержден его состав и положение о его деятельности.</w:t>
      </w:r>
    </w:p>
    <w:p w:rsidR="00590957" w:rsidRPr="00475F86" w:rsidRDefault="00053D89" w:rsidP="001D6AFD">
      <w:pPr>
        <w:pStyle w:val="aff1"/>
        <w:numPr>
          <w:ilvl w:val="0"/>
          <w:numId w:val="5"/>
        </w:numPr>
        <w:spacing w:line="276" w:lineRule="auto"/>
        <w:ind w:left="0" w:firstLine="709"/>
        <w:rPr>
          <w:sz w:val="24"/>
          <w:szCs w:val="24"/>
        </w:rPr>
      </w:pPr>
      <w:r w:rsidRPr="00475F86">
        <w:rPr>
          <w:sz w:val="24"/>
          <w:szCs w:val="24"/>
        </w:rPr>
        <w:t>Н</w:t>
      </w:r>
      <w:r w:rsidR="001D6AFD" w:rsidRPr="00475F86">
        <w:rPr>
          <w:sz w:val="24"/>
          <w:szCs w:val="24"/>
        </w:rPr>
        <w:t xml:space="preserve">ачата реализация </w:t>
      </w:r>
      <w:r w:rsidRPr="00475F86">
        <w:rPr>
          <w:sz w:val="24"/>
          <w:szCs w:val="24"/>
        </w:rPr>
        <w:t>мероприятий</w:t>
      </w:r>
      <w:r w:rsidR="001D6AFD" w:rsidRPr="00475F86">
        <w:rPr>
          <w:sz w:val="24"/>
          <w:szCs w:val="24"/>
        </w:rPr>
        <w:t xml:space="preserve"> «</w:t>
      </w:r>
      <w:r w:rsidR="00475F86" w:rsidRPr="00475F86">
        <w:rPr>
          <w:sz w:val="24"/>
          <w:szCs w:val="24"/>
        </w:rPr>
        <w:t>Пять</w:t>
      </w:r>
      <w:r w:rsidR="001D6AFD" w:rsidRPr="00475F86">
        <w:rPr>
          <w:sz w:val="24"/>
          <w:szCs w:val="24"/>
        </w:rPr>
        <w:t xml:space="preserve"> шагов благоустройства повседневности», в рамках которой предполагается реализация проектов, направленных на благоустройство городского округа Тольятти:</w:t>
      </w:r>
      <w:r w:rsidRPr="00475F86">
        <w:rPr>
          <w:sz w:val="24"/>
          <w:szCs w:val="24"/>
        </w:rPr>
        <w:t xml:space="preserve"> с</w:t>
      </w:r>
      <w:r w:rsidR="001D6AFD" w:rsidRPr="00475F86">
        <w:rPr>
          <w:sz w:val="24"/>
          <w:szCs w:val="24"/>
        </w:rPr>
        <w:t>оздание выставочного зала в честь 50-летия АВТОВАЗа и выпуска первого легкового автомобиля со сквером,  игровыми площадками и фонтаном»</w:t>
      </w:r>
      <w:r w:rsidRPr="00475F86">
        <w:rPr>
          <w:sz w:val="24"/>
          <w:szCs w:val="24"/>
        </w:rPr>
        <w:t>,</w:t>
      </w:r>
      <w:r w:rsidR="001D6AFD" w:rsidRPr="00475F86">
        <w:rPr>
          <w:sz w:val="24"/>
          <w:szCs w:val="24"/>
        </w:rPr>
        <w:t xml:space="preserve"> </w:t>
      </w:r>
      <w:r w:rsidRPr="00475F86">
        <w:rPr>
          <w:sz w:val="24"/>
          <w:szCs w:val="24"/>
        </w:rPr>
        <w:t>реконструкция МАУИ «Драматический театр «Колесо» им. народного артиста Российской Федерации Г.Б. Дроздова, создание 17 районных универсальных спортивных площадок, лесовосстановительные работы на территории 240 га и благоустройство лесной территории.</w:t>
      </w:r>
      <w:r w:rsidR="00475F86" w:rsidRPr="00475F86">
        <w:rPr>
          <w:sz w:val="24"/>
          <w:szCs w:val="24"/>
        </w:rPr>
        <w:t xml:space="preserve"> </w:t>
      </w:r>
      <w:r w:rsidRPr="00475F86">
        <w:rPr>
          <w:sz w:val="24"/>
          <w:szCs w:val="24"/>
        </w:rPr>
        <w:t>Плановый о</w:t>
      </w:r>
      <w:r w:rsidR="001D6AFD" w:rsidRPr="00475F86">
        <w:rPr>
          <w:sz w:val="24"/>
          <w:szCs w:val="24"/>
        </w:rPr>
        <w:t>бъем бюджетных инвестиций на 2017 год</w:t>
      </w:r>
      <w:r w:rsidRPr="00475F86">
        <w:rPr>
          <w:sz w:val="24"/>
          <w:szCs w:val="24"/>
        </w:rPr>
        <w:t xml:space="preserve"> по данным проектам составляет </w:t>
      </w:r>
      <w:r w:rsidR="00590957" w:rsidRPr="00475F86">
        <w:rPr>
          <w:sz w:val="24"/>
          <w:szCs w:val="24"/>
        </w:rPr>
        <w:t>более</w:t>
      </w:r>
      <w:r w:rsidRPr="00475F86">
        <w:rPr>
          <w:sz w:val="24"/>
          <w:szCs w:val="24"/>
        </w:rPr>
        <w:t xml:space="preserve"> 233 млн.руб. </w:t>
      </w:r>
    </w:p>
    <w:p w:rsidR="001D6AFD" w:rsidRPr="00590957" w:rsidRDefault="001D6AFD" w:rsidP="001D6AFD">
      <w:pPr>
        <w:pStyle w:val="aff1"/>
        <w:numPr>
          <w:ilvl w:val="0"/>
          <w:numId w:val="5"/>
        </w:numPr>
        <w:spacing w:line="276" w:lineRule="auto"/>
        <w:ind w:left="0" w:firstLine="709"/>
        <w:rPr>
          <w:sz w:val="24"/>
          <w:szCs w:val="24"/>
        </w:rPr>
      </w:pPr>
      <w:r w:rsidRPr="00590957">
        <w:rPr>
          <w:sz w:val="24"/>
          <w:szCs w:val="24"/>
        </w:rPr>
        <w:t>В выборе проектов и идей по их реализации активное участие принимали жители города, путем открытого голосования на сайте «моногорода.рф».</w:t>
      </w:r>
    </w:p>
    <w:p w:rsidR="001D6AFD" w:rsidRPr="005F2A7C" w:rsidRDefault="001D6AFD" w:rsidP="001D6AFD">
      <w:pPr>
        <w:spacing w:line="276" w:lineRule="auto"/>
        <w:ind w:firstLine="709"/>
        <w:jc w:val="both"/>
        <w:rPr>
          <w:sz w:val="24"/>
          <w:szCs w:val="24"/>
        </w:rPr>
      </w:pPr>
      <w:r>
        <w:rPr>
          <w:sz w:val="24"/>
          <w:szCs w:val="24"/>
        </w:rPr>
        <w:t>Кроме этого, в 2017 году</w:t>
      </w:r>
      <w:r w:rsidRPr="005F2A7C">
        <w:rPr>
          <w:sz w:val="24"/>
          <w:szCs w:val="24"/>
        </w:rPr>
        <w:t xml:space="preserve"> в рамках развития капитального строительства на террит</w:t>
      </w:r>
      <w:r>
        <w:rPr>
          <w:sz w:val="24"/>
          <w:szCs w:val="24"/>
        </w:rPr>
        <w:t>ории городского округа Тольятти</w:t>
      </w:r>
      <w:r w:rsidRPr="005F2A7C">
        <w:rPr>
          <w:sz w:val="24"/>
          <w:szCs w:val="24"/>
        </w:rPr>
        <w:t xml:space="preserve"> запланированы следующие мероприятия, финансируемые за счет </w:t>
      </w:r>
      <w:r>
        <w:rPr>
          <w:sz w:val="24"/>
          <w:szCs w:val="24"/>
        </w:rPr>
        <w:t>бюджетных средств</w:t>
      </w:r>
      <w:r w:rsidRPr="005F2A7C">
        <w:rPr>
          <w:sz w:val="24"/>
          <w:szCs w:val="24"/>
        </w:rPr>
        <w:t>:</w:t>
      </w:r>
    </w:p>
    <w:p w:rsidR="001D6AFD" w:rsidRPr="002A0D73" w:rsidRDefault="001D6AFD" w:rsidP="001D6AFD">
      <w:pPr>
        <w:spacing w:line="276" w:lineRule="auto"/>
        <w:ind w:firstLine="709"/>
        <w:jc w:val="both"/>
        <w:rPr>
          <w:sz w:val="24"/>
          <w:szCs w:val="24"/>
        </w:rPr>
      </w:pPr>
      <w:r w:rsidRPr="00675D25">
        <w:rPr>
          <w:sz w:val="24"/>
          <w:szCs w:val="24"/>
        </w:rPr>
        <w:t>- проектирование и строительство здания детского сада № 210 «Ладушки» в 20 квартале Автозаводского района. По данному мероприятию в 2017 году предусмотрены бюджетные ассигнования в сумме 14</w:t>
      </w:r>
      <w:r>
        <w:rPr>
          <w:sz w:val="24"/>
          <w:szCs w:val="24"/>
        </w:rPr>
        <w:t>0</w:t>
      </w:r>
      <w:r w:rsidRPr="00675D25">
        <w:rPr>
          <w:sz w:val="24"/>
          <w:szCs w:val="24"/>
        </w:rPr>
        <w:t xml:space="preserve">,3 </w:t>
      </w:r>
      <w:r>
        <w:rPr>
          <w:sz w:val="24"/>
          <w:szCs w:val="24"/>
        </w:rPr>
        <w:t xml:space="preserve">млн. </w:t>
      </w:r>
      <w:r w:rsidRPr="002A0D73">
        <w:rPr>
          <w:sz w:val="24"/>
          <w:szCs w:val="24"/>
        </w:rPr>
        <w:t>руб. В настоящее время ведутся строительные работы;</w:t>
      </w:r>
    </w:p>
    <w:p w:rsidR="001D6AFD" w:rsidRDefault="001D6AFD" w:rsidP="001D6AFD">
      <w:pPr>
        <w:pStyle w:val="aff1"/>
        <w:numPr>
          <w:ilvl w:val="0"/>
          <w:numId w:val="5"/>
        </w:numPr>
        <w:spacing w:line="276" w:lineRule="auto"/>
        <w:ind w:left="0" w:firstLine="709"/>
        <w:rPr>
          <w:sz w:val="24"/>
          <w:szCs w:val="24"/>
        </w:rPr>
      </w:pPr>
      <w:r w:rsidRPr="002A0D73">
        <w:rPr>
          <w:sz w:val="24"/>
          <w:szCs w:val="24"/>
        </w:rPr>
        <w:t xml:space="preserve">- </w:t>
      </w:r>
      <w:r w:rsidR="00734FCF">
        <w:rPr>
          <w:sz w:val="24"/>
          <w:szCs w:val="24"/>
        </w:rPr>
        <w:t xml:space="preserve">проектирование </w:t>
      </w:r>
      <w:r w:rsidRPr="002A0D73">
        <w:rPr>
          <w:sz w:val="24"/>
          <w:szCs w:val="24"/>
        </w:rPr>
        <w:t>строительств</w:t>
      </w:r>
      <w:r w:rsidR="00734FCF">
        <w:rPr>
          <w:sz w:val="24"/>
          <w:szCs w:val="24"/>
        </w:rPr>
        <w:t>а</w:t>
      </w:r>
      <w:r w:rsidRPr="002A0D73">
        <w:rPr>
          <w:sz w:val="24"/>
          <w:szCs w:val="24"/>
        </w:rPr>
        <w:t xml:space="preserve"> общеобразовательн</w:t>
      </w:r>
      <w:r w:rsidR="00734FCF">
        <w:rPr>
          <w:sz w:val="24"/>
          <w:szCs w:val="24"/>
        </w:rPr>
        <w:t>ой</w:t>
      </w:r>
      <w:r w:rsidRPr="002A0D73">
        <w:rPr>
          <w:sz w:val="24"/>
          <w:szCs w:val="24"/>
        </w:rPr>
        <w:t xml:space="preserve"> школ</w:t>
      </w:r>
      <w:r w:rsidR="00734FCF">
        <w:rPr>
          <w:sz w:val="24"/>
          <w:szCs w:val="24"/>
        </w:rPr>
        <w:t>ы</w:t>
      </w:r>
      <w:r w:rsidRPr="00F96B48">
        <w:rPr>
          <w:sz w:val="24"/>
          <w:szCs w:val="24"/>
        </w:rPr>
        <w:t xml:space="preserve"> на территории Автозаводского района</w:t>
      </w:r>
      <w:r w:rsidR="00734FCF">
        <w:rPr>
          <w:sz w:val="24"/>
          <w:szCs w:val="24"/>
        </w:rPr>
        <w:t xml:space="preserve"> (18 кв.)</w:t>
      </w:r>
      <w:r w:rsidRPr="00F96B48">
        <w:rPr>
          <w:sz w:val="24"/>
          <w:szCs w:val="24"/>
        </w:rPr>
        <w:t>. Объем бюджетных</w:t>
      </w:r>
      <w:r>
        <w:rPr>
          <w:sz w:val="24"/>
          <w:szCs w:val="24"/>
        </w:rPr>
        <w:t xml:space="preserve"> инвестиций на 2017 год (средства бюджета городского округа Тольятти) – </w:t>
      </w:r>
      <w:r w:rsidR="00734FCF">
        <w:rPr>
          <w:sz w:val="24"/>
          <w:szCs w:val="24"/>
        </w:rPr>
        <w:t>1,8</w:t>
      </w:r>
      <w:r>
        <w:rPr>
          <w:sz w:val="24"/>
          <w:szCs w:val="24"/>
        </w:rPr>
        <w:t xml:space="preserve"> млн.руб.;</w:t>
      </w:r>
    </w:p>
    <w:p w:rsidR="001D6AFD" w:rsidRDefault="001D6AFD" w:rsidP="001D6AFD">
      <w:pPr>
        <w:pStyle w:val="aff1"/>
        <w:numPr>
          <w:ilvl w:val="0"/>
          <w:numId w:val="5"/>
        </w:numPr>
        <w:spacing w:line="276" w:lineRule="auto"/>
        <w:ind w:left="0" w:firstLine="709"/>
        <w:rPr>
          <w:sz w:val="24"/>
          <w:szCs w:val="24"/>
        </w:rPr>
      </w:pPr>
      <w:r>
        <w:rPr>
          <w:sz w:val="24"/>
          <w:szCs w:val="24"/>
        </w:rPr>
        <w:t xml:space="preserve">- проектирование и строительство 2-х физкультурно-спортивных комплексов в Автозаводском районе. </w:t>
      </w:r>
      <w:r w:rsidRPr="00F96B48">
        <w:rPr>
          <w:sz w:val="24"/>
          <w:szCs w:val="24"/>
        </w:rPr>
        <w:t>Объем бюджетных</w:t>
      </w:r>
      <w:r>
        <w:rPr>
          <w:sz w:val="24"/>
          <w:szCs w:val="24"/>
        </w:rPr>
        <w:t xml:space="preserve"> инвестиций на 2017 год (средства бюджета городского</w:t>
      </w:r>
      <w:r w:rsidR="00734FCF">
        <w:rPr>
          <w:sz w:val="24"/>
          <w:szCs w:val="24"/>
        </w:rPr>
        <w:t xml:space="preserve"> округа Тольятти) – 9 млн. руб.</w:t>
      </w:r>
    </w:p>
    <w:p w:rsidR="001D6AFD" w:rsidRPr="00B365C4" w:rsidRDefault="001D6AFD" w:rsidP="001D6AFD">
      <w:pPr>
        <w:spacing w:line="276" w:lineRule="auto"/>
        <w:ind w:firstLine="709"/>
        <w:jc w:val="both"/>
        <w:rPr>
          <w:sz w:val="24"/>
          <w:szCs w:val="24"/>
        </w:rPr>
      </w:pPr>
      <w:r w:rsidRPr="00B365C4">
        <w:rPr>
          <w:sz w:val="24"/>
          <w:szCs w:val="24"/>
        </w:rPr>
        <w:t xml:space="preserve">Таким образом, на основании </w:t>
      </w:r>
      <w:r>
        <w:rPr>
          <w:sz w:val="24"/>
          <w:szCs w:val="24"/>
        </w:rPr>
        <w:t xml:space="preserve">представленных прогнозов </w:t>
      </w:r>
      <w:r w:rsidRPr="00B365C4">
        <w:rPr>
          <w:sz w:val="24"/>
          <w:szCs w:val="24"/>
        </w:rPr>
        <w:t>ведущих промышленных предприятий города</w:t>
      </w:r>
      <w:r>
        <w:rPr>
          <w:sz w:val="24"/>
          <w:szCs w:val="24"/>
        </w:rPr>
        <w:t xml:space="preserve">, а также плановых сумм бюджетных инвестиций </w:t>
      </w:r>
      <w:r w:rsidR="000F746B">
        <w:rPr>
          <w:sz w:val="24"/>
          <w:szCs w:val="24"/>
        </w:rPr>
        <w:t>на</w:t>
      </w:r>
      <w:r>
        <w:rPr>
          <w:sz w:val="24"/>
          <w:szCs w:val="24"/>
        </w:rPr>
        <w:t xml:space="preserve"> реконструкцию и строительство объектов на территории города,</w:t>
      </w:r>
      <w:r w:rsidRPr="00B365C4">
        <w:rPr>
          <w:sz w:val="24"/>
          <w:szCs w:val="24"/>
        </w:rPr>
        <w:t xml:space="preserve"> до конца 2017 года ожидается ускорение темпов роста </w:t>
      </w:r>
      <w:r w:rsidRPr="00B365C4">
        <w:rPr>
          <w:color w:val="000000"/>
          <w:sz w:val="24"/>
          <w:szCs w:val="24"/>
        </w:rPr>
        <w:t xml:space="preserve">объемов инвестиций в основной капитал, в сравнении с 1 полугодием текущего года. Объем инвестиций по городу за 2017 год, оценочно, </w:t>
      </w:r>
      <w:r w:rsidRPr="00B365C4">
        <w:rPr>
          <w:sz w:val="24"/>
          <w:szCs w:val="24"/>
        </w:rPr>
        <w:t xml:space="preserve">составит 33,7 млрд. руб. </w:t>
      </w:r>
    </w:p>
    <w:p w:rsidR="001D6AFD" w:rsidRPr="005F2A7C" w:rsidRDefault="001D6AFD" w:rsidP="001D6AFD">
      <w:pPr>
        <w:spacing w:line="276" w:lineRule="auto"/>
        <w:jc w:val="center"/>
        <w:rPr>
          <w:sz w:val="24"/>
          <w:szCs w:val="24"/>
        </w:rPr>
      </w:pPr>
      <w:r w:rsidRPr="005F2A7C">
        <w:rPr>
          <w:sz w:val="24"/>
          <w:szCs w:val="24"/>
        </w:rPr>
        <w:t xml:space="preserve">Ожидаемое выполнение прогнозного показателя инвестиций в основной капитал </w:t>
      </w:r>
    </w:p>
    <w:p w:rsidR="001D6AFD" w:rsidRDefault="001D6AFD" w:rsidP="001D6AFD">
      <w:pPr>
        <w:spacing w:line="276" w:lineRule="auto"/>
        <w:jc w:val="center"/>
        <w:rPr>
          <w:sz w:val="24"/>
          <w:szCs w:val="24"/>
        </w:rPr>
      </w:pPr>
      <w:r w:rsidRPr="005F2A7C">
        <w:rPr>
          <w:sz w:val="24"/>
          <w:szCs w:val="24"/>
        </w:rPr>
        <w:t>на 2017 год</w:t>
      </w:r>
    </w:p>
    <w:p w:rsidR="00355505" w:rsidRDefault="00355505" w:rsidP="001D6AFD">
      <w:pPr>
        <w:spacing w:line="276" w:lineRule="auto"/>
        <w:jc w:val="center"/>
        <w:rPr>
          <w:sz w:val="24"/>
          <w:szCs w:val="24"/>
        </w:rPr>
      </w:pPr>
    </w:p>
    <w:tbl>
      <w:tblPr>
        <w:tblW w:w="9473" w:type="dxa"/>
        <w:tblInd w:w="108" w:type="dxa"/>
        <w:tblLayout w:type="fixed"/>
        <w:tblLook w:val="0000" w:firstRow="0" w:lastRow="0" w:firstColumn="0" w:lastColumn="0" w:noHBand="0" w:noVBand="0"/>
      </w:tblPr>
      <w:tblGrid>
        <w:gridCol w:w="3402"/>
        <w:gridCol w:w="1276"/>
        <w:gridCol w:w="1701"/>
        <w:gridCol w:w="1559"/>
        <w:gridCol w:w="1535"/>
      </w:tblGrid>
      <w:tr w:rsidR="001D6AFD" w:rsidRPr="005A34F1" w:rsidTr="00812346">
        <w:tc>
          <w:tcPr>
            <w:tcW w:w="3402" w:type="dxa"/>
            <w:vMerge w:val="restart"/>
            <w:tcBorders>
              <w:top w:val="single" w:sz="4" w:space="0" w:color="000000"/>
              <w:left w:val="single" w:sz="4" w:space="0" w:color="000000"/>
              <w:bottom w:val="single" w:sz="4" w:space="0" w:color="000000"/>
            </w:tcBorders>
            <w:vAlign w:val="center"/>
          </w:tcPr>
          <w:p w:rsidR="001D6AFD" w:rsidRPr="005F2A7C" w:rsidRDefault="001D6AFD" w:rsidP="00812346">
            <w:pPr>
              <w:snapToGrid w:val="0"/>
              <w:ind w:firstLine="5"/>
              <w:jc w:val="center"/>
              <w:rPr>
                <w:sz w:val="24"/>
                <w:szCs w:val="24"/>
              </w:rPr>
            </w:pPr>
          </w:p>
          <w:p w:rsidR="001D6AFD" w:rsidRPr="005F2A7C" w:rsidRDefault="001D6AFD" w:rsidP="00812346">
            <w:pPr>
              <w:ind w:firstLine="5"/>
              <w:jc w:val="center"/>
              <w:rPr>
                <w:sz w:val="24"/>
                <w:szCs w:val="24"/>
              </w:rPr>
            </w:pPr>
            <w:r w:rsidRPr="005F2A7C">
              <w:rPr>
                <w:sz w:val="24"/>
                <w:szCs w:val="24"/>
              </w:rPr>
              <w:t>Показатели</w:t>
            </w:r>
          </w:p>
        </w:tc>
        <w:tc>
          <w:tcPr>
            <w:tcW w:w="1276" w:type="dxa"/>
            <w:vMerge w:val="restart"/>
            <w:tcBorders>
              <w:top w:val="single" w:sz="4" w:space="0" w:color="000000"/>
              <w:left w:val="single" w:sz="4" w:space="0" w:color="000000"/>
              <w:bottom w:val="single" w:sz="4" w:space="0" w:color="000000"/>
            </w:tcBorders>
            <w:vAlign w:val="center"/>
          </w:tcPr>
          <w:p w:rsidR="001D6AFD" w:rsidRPr="005F2A7C" w:rsidRDefault="001D6AFD" w:rsidP="00812346">
            <w:pPr>
              <w:ind w:firstLine="5"/>
              <w:jc w:val="center"/>
              <w:rPr>
                <w:sz w:val="24"/>
                <w:szCs w:val="24"/>
              </w:rPr>
            </w:pPr>
            <w:r w:rsidRPr="005F2A7C">
              <w:rPr>
                <w:sz w:val="24"/>
                <w:szCs w:val="24"/>
              </w:rPr>
              <w:t>Ед.изм.</w:t>
            </w:r>
          </w:p>
        </w:tc>
        <w:tc>
          <w:tcPr>
            <w:tcW w:w="3260" w:type="dxa"/>
            <w:gridSpan w:val="2"/>
            <w:tcBorders>
              <w:top w:val="single" w:sz="4" w:space="0" w:color="000000"/>
              <w:left w:val="single" w:sz="4" w:space="0" w:color="000000"/>
              <w:bottom w:val="single" w:sz="4" w:space="0" w:color="000000"/>
            </w:tcBorders>
          </w:tcPr>
          <w:p w:rsidR="001D6AFD" w:rsidRPr="005F2A7C" w:rsidRDefault="001D6AFD" w:rsidP="00812346">
            <w:pPr>
              <w:jc w:val="center"/>
              <w:rPr>
                <w:sz w:val="24"/>
                <w:szCs w:val="24"/>
              </w:rPr>
            </w:pPr>
            <w:r w:rsidRPr="005F2A7C">
              <w:rPr>
                <w:sz w:val="24"/>
                <w:szCs w:val="24"/>
              </w:rPr>
              <w:t>Прогноз на 201</w:t>
            </w:r>
            <w:r>
              <w:rPr>
                <w:sz w:val="24"/>
                <w:szCs w:val="24"/>
              </w:rPr>
              <w:t>7</w:t>
            </w:r>
            <w:r w:rsidRPr="005F2A7C">
              <w:rPr>
                <w:sz w:val="24"/>
                <w:szCs w:val="24"/>
              </w:rPr>
              <w:t xml:space="preserve"> год</w:t>
            </w:r>
          </w:p>
        </w:tc>
        <w:tc>
          <w:tcPr>
            <w:tcW w:w="1535" w:type="dxa"/>
            <w:vMerge w:val="restart"/>
            <w:tcBorders>
              <w:top w:val="single" w:sz="4" w:space="0" w:color="000000"/>
              <w:left w:val="single" w:sz="4" w:space="0" w:color="000000"/>
              <w:bottom w:val="single" w:sz="4" w:space="0" w:color="000000"/>
              <w:right w:val="single" w:sz="4" w:space="0" w:color="000000"/>
            </w:tcBorders>
          </w:tcPr>
          <w:p w:rsidR="001D6AFD" w:rsidRPr="005F2A7C" w:rsidRDefault="001D6AFD" w:rsidP="00812346">
            <w:pPr>
              <w:jc w:val="center"/>
              <w:rPr>
                <w:sz w:val="24"/>
                <w:szCs w:val="24"/>
              </w:rPr>
            </w:pPr>
            <w:r w:rsidRPr="005F2A7C">
              <w:rPr>
                <w:sz w:val="24"/>
                <w:szCs w:val="24"/>
              </w:rPr>
              <w:t>201</w:t>
            </w:r>
            <w:r>
              <w:rPr>
                <w:sz w:val="24"/>
                <w:szCs w:val="24"/>
              </w:rPr>
              <w:t>7</w:t>
            </w:r>
            <w:r w:rsidRPr="005F2A7C">
              <w:rPr>
                <w:sz w:val="24"/>
                <w:szCs w:val="24"/>
              </w:rPr>
              <w:t xml:space="preserve"> год (оценка)</w:t>
            </w:r>
          </w:p>
        </w:tc>
      </w:tr>
      <w:tr w:rsidR="001D6AFD" w:rsidRPr="005A34F1" w:rsidTr="00812346">
        <w:trPr>
          <w:trHeight w:val="249"/>
        </w:trPr>
        <w:tc>
          <w:tcPr>
            <w:tcW w:w="3402" w:type="dxa"/>
            <w:vMerge/>
            <w:tcBorders>
              <w:top w:val="single" w:sz="4" w:space="0" w:color="000000"/>
              <w:left w:val="single" w:sz="4" w:space="0" w:color="000000"/>
              <w:bottom w:val="single" w:sz="4" w:space="0" w:color="000000"/>
            </w:tcBorders>
          </w:tcPr>
          <w:p w:rsidR="001D6AFD" w:rsidRPr="005F2A7C" w:rsidRDefault="001D6AFD" w:rsidP="00812346">
            <w:pPr>
              <w:snapToGrid w:val="0"/>
              <w:ind w:firstLine="5"/>
              <w:jc w:val="center"/>
              <w:rPr>
                <w:sz w:val="24"/>
                <w:szCs w:val="24"/>
              </w:rPr>
            </w:pPr>
          </w:p>
        </w:tc>
        <w:tc>
          <w:tcPr>
            <w:tcW w:w="1276" w:type="dxa"/>
            <w:vMerge/>
            <w:tcBorders>
              <w:top w:val="single" w:sz="4" w:space="0" w:color="000000"/>
              <w:left w:val="single" w:sz="4" w:space="0" w:color="000000"/>
              <w:bottom w:val="single" w:sz="4" w:space="0" w:color="000000"/>
            </w:tcBorders>
          </w:tcPr>
          <w:p w:rsidR="001D6AFD" w:rsidRPr="005F2A7C" w:rsidRDefault="001D6AFD" w:rsidP="00812346">
            <w:pPr>
              <w:snapToGrid w:val="0"/>
              <w:ind w:firstLine="5"/>
              <w:jc w:val="center"/>
              <w:rPr>
                <w:sz w:val="24"/>
                <w:szCs w:val="24"/>
              </w:rPr>
            </w:pPr>
          </w:p>
        </w:tc>
        <w:tc>
          <w:tcPr>
            <w:tcW w:w="1701" w:type="dxa"/>
            <w:tcBorders>
              <w:top w:val="single" w:sz="4" w:space="0" w:color="000000"/>
              <w:left w:val="single" w:sz="4" w:space="0" w:color="000000"/>
              <w:bottom w:val="single" w:sz="4" w:space="0" w:color="000000"/>
            </w:tcBorders>
          </w:tcPr>
          <w:p w:rsidR="001D6AFD" w:rsidRPr="005F2A7C" w:rsidRDefault="001D6AFD" w:rsidP="00812346">
            <w:pPr>
              <w:ind w:firstLine="5"/>
              <w:jc w:val="center"/>
              <w:rPr>
                <w:sz w:val="24"/>
                <w:szCs w:val="24"/>
              </w:rPr>
            </w:pPr>
            <w:r w:rsidRPr="005F2A7C">
              <w:rPr>
                <w:sz w:val="24"/>
                <w:szCs w:val="24"/>
              </w:rPr>
              <w:t>1 вариант</w:t>
            </w:r>
          </w:p>
        </w:tc>
        <w:tc>
          <w:tcPr>
            <w:tcW w:w="1559" w:type="dxa"/>
            <w:tcBorders>
              <w:top w:val="single" w:sz="4" w:space="0" w:color="000000"/>
              <w:left w:val="single" w:sz="4" w:space="0" w:color="000000"/>
              <w:bottom w:val="single" w:sz="4" w:space="0" w:color="000000"/>
            </w:tcBorders>
          </w:tcPr>
          <w:p w:rsidR="001D6AFD" w:rsidRPr="005F2A7C" w:rsidRDefault="001D6AFD" w:rsidP="00812346">
            <w:pPr>
              <w:ind w:firstLine="5"/>
              <w:jc w:val="center"/>
              <w:rPr>
                <w:sz w:val="24"/>
                <w:szCs w:val="24"/>
              </w:rPr>
            </w:pPr>
            <w:r w:rsidRPr="005F2A7C">
              <w:rPr>
                <w:sz w:val="24"/>
                <w:szCs w:val="24"/>
              </w:rPr>
              <w:t>2 вариант</w:t>
            </w:r>
          </w:p>
        </w:tc>
        <w:tc>
          <w:tcPr>
            <w:tcW w:w="1535" w:type="dxa"/>
            <w:vMerge/>
            <w:tcBorders>
              <w:top w:val="single" w:sz="4" w:space="0" w:color="000000"/>
              <w:left w:val="single" w:sz="4" w:space="0" w:color="000000"/>
              <w:bottom w:val="single" w:sz="4" w:space="0" w:color="000000"/>
              <w:right w:val="single" w:sz="4" w:space="0" w:color="000000"/>
            </w:tcBorders>
          </w:tcPr>
          <w:p w:rsidR="001D6AFD" w:rsidRPr="005F2A7C" w:rsidRDefault="001D6AFD" w:rsidP="00812346">
            <w:pPr>
              <w:snapToGrid w:val="0"/>
              <w:ind w:firstLine="5"/>
              <w:jc w:val="center"/>
              <w:rPr>
                <w:sz w:val="24"/>
                <w:szCs w:val="24"/>
              </w:rPr>
            </w:pPr>
          </w:p>
        </w:tc>
      </w:tr>
      <w:tr w:rsidR="001D6AFD" w:rsidRPr="005A34F1" w:rsidTr="00812346">
        <w:tc>
          <w:tcPr>
            <w:tcW w:w="3402" w:type="dxa"/>
            <w:tcBorders>
              <w:top w:val="single" w:sz="4" w:space="0" w:color="000000"/>
              <w:left w:val="single" w:sz="4" w:space="0" w:color="000000"/>
              <w:bottom w:val="single" w:sz="4" w:space="0" w:color="000000"/>
            </w:tcBorders>
          </w:tcPr>
          <w:p w:rsidR="001D6AFD" w:rsidRPr="005F2A7C" w:rsidRDefault="001D6AFD" w:rsidP="00812346">
            <w:pPr>
              <w:ind w:firstLine="5"/>
              <w:rPr>
                <w:sz w:val="24"/>
                <w:szCs w:val="24"/>
              </w:rPr>
            </w:pPr>
            <w:r w:rsidRPr="005F2A7C">
              <w:rPr>
                <w:sz w:val="24"/>
                <w:szCs w:val="24"/>
              </w:rPr>
              <w:t xml:space="preserve">Объем инвестиций в основной капитал за счет всех источников финансирования </w:t>
            </w:r>
            <w:r>
              <w:rPr>
                <w:sz w:val="24"/>
                <w:szCs w:val="24"/>
              </w:rPr>
              <w:t>(в ценах соответствующих лет)</w:t>
            </w:r>
          </w:p>
        </w:tc>
        <w:tc>
          <w:tcPr>
            <w:tcW w:w="1276" w:type="dxa"/>
            <w:tcBorders>
              <w:top w:val="single" w:sz="4" w:space="0" w:color="000000"/>
              <w:left w:val="single" w:sz="4" w:space="0" w:color="000000"/>
              <w:bottom w:val="single" w:sz="4" w:space="0" w:color="000000"/>
            </w:tcBorders>
            <w:vAlign w:val="center"/>
          </w:tcPr>
          <w:p w:rsidR="001D6AFD" w:rsidRPr="005F2A7C" w:rsidRDefault="001D6AFD" w:rsidP="00812346">
            <w:pPr>
              <w:ind w:firstLine="5"/>
              <w:jc w:val="center"/>
              <w:rPr>
                <w:sz w:val="24"/>
                <w:szCs w:val="24"/>
              </w:rPr>
            </w:pPr>
            <w:r w:rsidRPr="005F2A7C">
              <w:rPr>
                <w:sz w:val="24"/>
                <w:szCs w:val="24"/>
              </w:rPr>
              <w:t>млн. руб.</w:t>
            </w:r>
          </w:p>
        </w:tc>
        <w:tc>
          <w:tcPr>
            <w:tcW w:w="1701" w:type="dxa"/>
            <w:tcBorders>
              <w:top w:val="single" w:sz="4" w:space="0" w:color="000000"/>
              <w:left w:val="single" w:sz="4" w:space="0" w:color="000000"/>
              <w:bottom w:val="single" w:sz="4" w:space="0" w:color="000000"/>
            </w:tcBorders>
            <w:vAlign w:val="center"/>
          </w:tcPr>
          <w:p w:rsidR="001D6AFD" w:rsidRPr="005F2A7C" w:rsidRDefault="001D6AFD" w:rsidP="00812346">
            <w:pPr>
              <w:ind w:firstLine="5"/>
              <w:jc w:val="center"/>
              <w:rPr>
                <w:sz w:val="24"/>
                <w:szCs w:val="24"/>
              </w:rPr>
            </w:pPr>
            <w:r>
              <w:rPr>
                <w:sz w:val="24"/>
                <w:szCs w:val="24"/>
              </w:rPr>
              <w:t>30 350,0</w:t>
            </w:r>
          </w:p>
        </w:tc>
        <w:tc>
          <w:tcPr>
            <w:tcW w:w="1559" w:type="dxa"/>
            <w:tcBorders>
              <w:top w:val="single" w:sz="4" w:space="0" w:color="000000"/>
              <w:left w:val="single" w:sz="4" w:space="0" w:color="000000"/>
              <w:bottom w:val="single" w:sz="4" w:space="0" w:color="000000"/>
            </w:tcBorders>
            <w:vAlign w:val="center"/>
          </w:tcPr>
          <w:p w:rsidR="001D6AFD" w:rsidRPr="005F2A7C" w:rsidRDefault="001D6AFD" w:rsidP="00812346">
            <w:pPr>
              <w:ind w:firstLine="5"/>
              <w:jc w:val="center"/>
              <w:rPr>
                <w:sz w:val="24"/>
                <w:szCs w:val="24"/>
              </w:rPr>
            </w:pPr>
            <w:r>
              <w:rPr>
                <w:sz w:val="24"/>
                <w:szCs w:val="24"/>
              </w:rPr>
              <w:t>34 968,0</w:t>
            </w:r>
          </w:p>
        </w:tc>
        <w:tc>
          <w:tcPr>
            <w:tcW w:w="1535" w:type="dxa"/>
            <w:tcBorders>
              <w:top w:val="single" w:sz="4" w:space="0" w:color="000000"/>
              <w:left w:val="single" w:sz="4" w:space="0" w:color="000000"/>
              <w:bottom w:val="single" w:sz="4" w:space="0" w:color="000000"/>
              <w:right w:val="single" w:sz="4" w:space="0" w:color="000000"/>
            </w:tcBorders>
            <w:vAlign w:val="center"/>
          </w:tcPr>
          <w:p w:rsidR="001D6AFD" w:rsidRPr="005F2A7C" w:rsidRDefault="001D6AFD" w:rsidP="00812346">
            <w:pPr>
              <w:ind w:firstLine="5"/>
              <w:jc w:val="center"/>
              <w:rPr>
                <w:sz w:val="24"/>
                <w:szCs w:val="24"/>
              </w:rPr>
            </w:pPr>
            <w:r>
              <w:rPr>
                <w:sz w:val="24"/>
                <w:szCs w:val="24"/>
              </w:rPr>
              <w:t>33 736,8</w:t>
            </w:r>
          </w:p>
        </w:tc>
      </w:tr>
    </w:tbl>
    <w:p w:rsidR="00B9460E" w:rsidRDefault="001D6AFD" w:rsidP="00A423B6">
      <w:pPr>
        <w:spacing w:line="276" w:lineRule="auto"/>
        <w:ind w:firstLine="709"/>
        <w:jc w:val="both"/>
        <w:rPr>
          <w:sz w:val="24"/>
          <w:szCs w:val="24"/>
        </w:rPr>
      </w:pPr>
      <w:r w:rsidRPr="00B365C4">
        <w:rPr>
          <w:sz w:val="24"/>
          <w:szCs w:val="24"/>
        </w:rPr>
        <w:t xml:space="preserve"> </w:t>
      </w:r>
    </w:p>
    <w:p w:rsidR="00A50BA4" w:rsidRDefault="005F2A7C" w:rsidP="00A423B6">
      <w:pPr>
        <w:spacing w:line="276" w:lineRule="auto"/>
        <w:ind w:firstLine="709"/>
        <w:jc w:val="both"/>
        <w:rPr>
          <w:sz w:val="24"/>
          <w:szCs w:val="24"/>
          <w:lang w:eastAsia="ar-SA"/>
        </w:rPr>
      </w:pPr>
      <w:r w:rsidRPr="00B365C4">
        <w:rPr>
          <w:sz w:val="24"/>
          <w:szCs w:val="24"/>
        </w:rPr>
        <w:t xml:space="preserve"> </w:t>
      </w:r>
      <w:r w:rsidR="00A50BA4" w:rsidRPr="00555214">
        <w:rPr>
          <w:sz w:val="24"/>
          <w:szCs w:val="24"/>
          <w:lang w:eastAsia="ar-SA"/>
        </w:rPr>
        <w:t xml:space="preserve">Приоритетным направлением </w:t>
      </w:r>
      <w:r w:rsidR="00A50BA4" w:rsidRPr="00555214">
        <w:rPr>
          <w:b/>
          <w:sz w:val="24"/>
          <w:szCs w:val="24"/>
          <w:lang w:eastAsia="ar-SA"/>
        </w:rPr>
        <w:t>жилищной политики</w:t>
      </w:r>
      <w:r w:rsidR="00A50BA4" w:rsidRPr="00555214">
        <w:rPr>
          <w:sz w:val="24"/>
          <w:szCs w:val="24"/>
          <w:lang w:eastAsia="ar-SA"/>
        </w:rPr>
        <w:t xml:space="preserve"> городского округа Тольятти является ежегодное увеличение количества вводимого в эксплуатацию жилья и улучшение жилищных условий различных категорий граждан.</w:t>
      </w:r>
    </w:p>
    <w:p w:rsidR="00555214" w:rsidRPr="00357410" w:rsidRDefault="00555214" w:rsidP="00555214">
      <w:pPr>
        <w:pStyle w:val="aff1"/>
        <w:spacing w:line="276" w:lineRule="auto"/>
        <w:rPr>
          <w:sz w:val="24"/>
          <w:szCs w:val="24"/>
          <w:lang w:eastAsia="ar-SA"/>
        </w:rPr>
      </w:pPr>
      <w:r w:rsidRPr="00C32B05">
        <w:rPr>
          <w:sz w:val="24"/>
          <w:szCs w:val="24"/>
          <w:lang w:eastAsia="ar-SA"/>
        </w:rPr>
        <w:t>В городском округе Тольятти в 1 полугодии 201</w:t>
      </w:r>
      <w:r>
        <w:rPr>
          <w:sz w:val="24"/>
          <w:szCs w:val="24"/>
          <w:lang w:eastAsia="ar-SA"/>
        </w:rPr>
        <w:t>7</w:t>
      </w:r>
      <w:r w:rsidRPr="00C32B05">
        <w:rPr>
          <w:sz w:val="24"/>
          <w:szCs w:val="24"/>
          <w:lang w:eastAsia="ar-SA"/>
        </w:rPr>
        <w:t xml:space="preserve"> года наблюдается</w:t>
      </w:r>
      <w:r w:rsidR="00C75FDF">
        <w:rPr>
          <w:sz w:val="24"/>
          <w:szCs w:val="24"/>
          <w:lang w:eastAsia="ar-SA"/>
        </w:rPr>
        <w:t xml:space="preserve"> </w:t>
      </w:r>
      <w:r w:rsidR="007B727C">
        <w:rPr>
          <w:sz w:val="24"/>
          <w:szCs w:val="24"/>
          <w:lang w:eastAsia="ar-SA"/>
        </w:rPr>
        <w:t xml:space="preserve">отрицательная </w:t>
      </w:r>
      <w:r w:rsidRPr="00C32B05">
        <w:rPr>
          <w:sz w:val="24"/>
          <w:szCs w:val="24"/>
          <w:lang w:eastAsia="ar-SA"/>
        </w:rPr>
        <w:t>динамик</w:t>
      </w:r>
      <w:r w:rsidR="007B727C">
        <w:rPr>
          <w:sz w:val="24"/>
          <w:szCs w:val="24"/>
          <w:lang w:eastAsia="ar-SA"/>
        </w:rPr>
        <w:t>а</w:t>
      </w:r>
      <w:r w:rsidRPr="00C32B05">
        <w:rPr>
          <w:sz w:val="24"/>
          <w:szCs w:val="24"/>
          <w:lang w:eastAsia="ar-SA"/>
        </w:rPr>
        <w:t xml:space="preserve"> ввода в действие жилых домов по сравнению с аналогичным периодом 201</w:t>
      </w:r>
      <w:r>
        <w:rPr>
          <w:sz w:val="24"/>
          <w:szCs w:val="24"/>
          <w:lang w:eastAsia="ar-SA"/>
        </w:rPr>
        <w:t>6</w:t>
      </w:r>
      <w:r w:rsidRPr="00C32B05">
        <w:rPr>
          <w:sz w:val="24"/>
          <w:szCs w:val="24"/>
          <w:lang w:eastAsia="ar-SA"/>
        </w:rPr>
        <w:t xml:space="preserve"> года</w:t>
      </w:r>
      <w:r>
        <w:rPr>
          <w:sz w:val="24"/>
          <w:szCs w:val="24"/>
          <w:lang w:eastAsia="ar-SA"/>
        </w:rPr>
        <w:t>:</w:t>
      </w:r>
      <w:r w:rsidRPr="00C32B05">
        <w:rPr>
          <w:sz w:val="24"/>
          <w:szCs w:val="24"/>
          <w:lang w:eastAsia="ar-SA"/>
        </w:rPr>
        <w:t xml:space="preserve"> </w:t>
      </w:r>
      <w:r>
        <w:rPr>
          <w:sz w:val="24"/>
          <w:szCs w:val="24"/>
          <w:lang w:eastAsia="ar-SA"/>
        </w:rPr>
        <w:t>общий</w:t>
      </w:r>
      <w:r w:rsidRPr="00C32B05">
        <w:rPr>
          <w:sz w:val="24"/>
          <w:szCs w:val="24"/>
          <w:lang w:eastAsia="ar-SA"/>
        </w:rPr>
        <w:t xml:space="preserve"> объем, введенного в эксплуатацию жилья</w:t>
      </w:r>
      <w:r>
        <w:rPr>
          <w:sz w:val="24"/>
          <w:szCs w:val="24"/>
          <w:lang w:eastAsia="ar-SA"/>
        </w:rPr>
        <w:t xml:space="preserve"> (квартир)</w:t>
      </w:r>
      <w:r w:rsidRPr="00C32B05">
        <w:rPr>
          <w:sz w:val="24"/>
          <w:szCs w:val="24"/>
          <w:lang w:eastAsia="ar-SA"/>
        </w:rPr>
        <w:t>, составил 6,</w:t>
      </w:r>
      <w:r>
        <w:rPr>
          <w:sz w:val="24"/>
          <w:szCs w:val="24"/>
          <w:lang w:eastAsia="ar-SA"/>
        </w:rPr>
        <w:t>0</w:t>
      </w:r>
      <w:r w:rsidRPr="00C32B05">
        <w:rPr>
          <w:sz w:val="24"/>
          <w:szCs w:val="24"/>
          <w:lang w:eastAsia="ar-SA"/>
        </w:rPr>
        <w:t xml:space="preserve"> тыс. кв. м (в 1 полугодии 201</w:t>
      </w:r>
      <w:r>
        <w:rPr>
          <w:sz w:val="24"/>
          <w:szCs w:val="24"/>
          <w:lang w:eastAsia="ar-SA"/>
        </w:rPr>
        <w:t>6</w:t>
      </w:r>
      <w:r w:rsidRPr="00C32B05">
        <w:rPr>
          <w:sz w:val="24"/>
          <w:szCs w:val="24"/>
          <w:lang w:eastAsia="ar-SA"/>
        </w:rPr>
        <w:t xml:space="preserve"> года – </w:t>
      </w:r>
      <w:r>
        <w:rPr>
          <w:sz w:val="24"/>
          <w:szCs w:val="24"/>
          <w:lang w:eastAsia="ar-SA"/>
        </w:rPr>
        <w:t>88</w:t>
      </w:r>
      <w:r w:rsidRPr="00C32B05">
        <w:rPr>
          <w:sz w:val="24"/>
          <w:szCs w:val="24"/>
          <w:lang w:eastAsia="ar-SA"/>
        </w:rPr>
        <w:t>,6 тыс. кв. м).</w:t>
      </w:r>
      <w:r>
        <w:rPr>
          <w:sz w:val="24"/>
          <w:szCs w:val="24"/>
          <w:lang w:eastAsia="ar-SA"/>
        </w:rPr>
        <w:t xml:space="preserve"> </w:t>
      </w:r>
      <w:r w:rsidRPr="00357410">
        <w:rPr>
          <w:sz w:val="24"/>
          <w:szCs w:val="24"/>
          <w:lang w:eastAsia="ar-SA"/>
        </w:rPr>
        <w:t>По сравнению с аналогичным периодом 201</w:t>
      </w:r>
      <w:r>
        <w:rPr>
          <w:sz w:val="24"/>
          <w:szCs w:val="24"/>
          <w:lang w:eastAsia="ar-SA"/>
        </w:rPr>
        <w:t>6</w:t>
      </w:r>
      <w:r w:rsidRPr="00357410">
        <w:rPr>
          <w:sz w:val="24"/>
          <w:szCs w:val="24"/>
          <w:lang w:eastAsia="ar-SA"/>
        </w:rPr>
        <w:t xml:space="preserve"> года, наблюдается снижение на 5</w:t>
      </w:r>
      <w:r>
        <w:rPr>
          <w:sz w:val="24"/>
          <w:szCs w:val="24"/>
          <w:lang w:eastAsia="ar-SA"/>
        </w:rPr>
        <w:t>5</w:t>
      </w:r>
      <w:r w:rsidRPr="00357410">
        <w:rPr>
          <w:sz w:val="24"/>
          <w:szCs w:val="24"/>
          <w:lang w:eastAsia="ar-SA"/>
        </w:rPr>
        <w:t>,</w:t>
      </w:r>
      <w:r>
        <w:rPr>
          <w:sz w:val="24"/>
          <w:szCs w:val="24"/>
          <w:lang w:eastAsia="ar-SA"/>
        </w:rPr>
        <w:t>6</w:t>
      </w:r>
      <w:r w:rsidRPr="00357410">
        <w:rPr>
          <w:sz w:val="24"/>
          <w:szCs w:val="24"/>
          <w:lang w:eastAsia="ar-SA"/>
        </w:rPr>
        <w:t xml:space="preserve"> % ввода в действие общей площади индивидуальных жилых домов.</w:t>
      </w:r>
    </w:p>
    <w:p w:rsidR="00A50BA4" w:rsidRPr="00555214" w:rsidRDefault="00A50BA4" w:rsidP="000C521E">
      <w:pPr>
        <w:widowControl w:val="0"/>
        <w:spacing w:line="276" w:lineRule="auto"/>
        <w:ind w:firstLine="709"/>
        <w:jc w:val="both"/>
        <w:rPr>
          <w:sz w:val="24"/>
          <w:szCs w:val="24"/>
        </w:rPr>
      </w:pPr>
      <w:r w:rsidRPr="00555214">
        <w:rPr>
          <w:sz w:val="24"/>
          <w:szCs w:val="24"/>
        </w:rPr>
        <w:t xml:space="preserve">В соответствии с соглашением между министерством строительства и жилищно-коммунального хозяйства Самарской области, министерством экономического развития, инвестиций и торговли Самарской области и </w:t>
      </w:r>
      <w:r w:rsidR="00555214" w:rsidRPr="00555214">
        <w:rPr>
          <w:sz w:val="24"/>
          <w:szCs w:val="24"/>
        </w:rPr>
        <w:t>администрацией</w:t>
      </w:r>
      <w:r w:rsidRPr="00555214">
        <w:rPr>
          <w:sz w:val="24"/>
          <w:szCs w:val="24"/>
        </w:rPr>
        <w:t xml:space="preserve"> городского округа Тольятти Самарской области об установлении планового задания по вводу жилья для городского округа Тольятти на 201</w:t>
      </w:r>
      <w:r w:rsidR="00555214" w:rsidRPr="00555214">
        <w:rPr>
          <w:sz w:val="24"/>
          <w:szCs w:val="24"/>
        </w:rPr>
        <w:t>7</w:t>
      </w:r>
      <w:r w:rsidRPr="00555214">
        <w:rPr>
          <w:sz w:val="24"/>
          <w:szCs w:val="24"/>
        </w:rPr>
        <w:t xml:space="preserve"> год, плановое значение показателя по объему введенных жилых домов (квартир) в городском округе Тольятти в 201</w:t>
      </w:r>
      <w:r w:rsidR="00555214" w:rsidRPr="00555214">
        <w:rPr>
          <w:sz w:val="24"/>
          <w:szCs w:val="24"/>
        </w:rPr>
        <w:t>7</w:t>
      </w:r>
      <w:r w:rsidRPr="00555214">
        <w:rPr>
          <w:sz w:val="24"/>
          <w:szCs w:val="24"/>
        </w:rPr>
        <w:t xml:space="preserve"> году составляет </w:t>
      </w:r>
      <w:r w:rsidR="00555214" w:rsidRPr="00555214">
        <w:rPr>
          <w:sz w:val="24"/>
          <w:szCs w:val="24"/>
        </w:rPr>
        <w:t>193</w:t>
      </w:r>
      <w:r w:rsidRPr="00555214">
        <w:rPr>
          <w:sz w:val="24"/>
          <w:szCs w:val="24"/>
        </w:rPr>
        <w:t xml:space="preserve"> тыс. кв. м общей площади жилья, что на </w:t>
      </w:r>
      <w:r w:rsidR="00555214" w:rsidRPr="00555214">
        <w:rPr>
          <w:sz w:val="24"/>
          <w:szCs w:val="24"/>
        </w:rPr>
        <w:t>17</w:t>
      </w:r>
      <w:r w:rsidRPr="00555214">
        <w:rPr>
          <w:sz w:val="24"/>
          <w:szCs w:val="24"/>
        </w:rPr>
        <w:t>,</w:t>
      </w:r>
      <w:r w:rsidR="00555214" w:rsidRPr="00555214">
        <w:rPr>
          <w:sz w:val="24"/>
          <w:szCs w:val="24"/>
        </w:rPr>
        <w:t>7</w:t>
      </w:r>
      <w:r w:rsidRPr="00555214">
        <w:rPr>
          <w:sz w:val="24"/>
          <w:szCs w:val="24"/>
        </w:rPr>
        <w:t xml:space="preserve"> % </w:t>
      </w:r>
      <w:r w:rsidR="00555214" w:rsidRPr="00555214">
        <w:rPr>
          <w:sz w:val="24"/>
          <w:szCs w:val="24"/>
        </w:rPr>
        <w:t>ниже</w:t>
      </w:r>
      <w:r w:rsidRPr="00555214">
        <w:rPr>
          <w:sz w:val="24"/>
          <w:szCs w:val="24"/>
        </w:rPr>
        <w:t xml:space="preserve"> факта 201</w:t>
      </w:r>
      <w:r w:rsidR="00555214" w:rsidRPr="00555214">
        <w:rPr>
          <w:sz w:val="24"/>
          <w:szCs w:val="24"/>
        </w:rPr>
        <w:t>6</w:t>
      </w:r>
      <w:r w:rsidRPr="00555214">
        <w:rPr>
          <w:sz w:val="24"/>
          <w:szCs w:val="24"/>
        </w:rPr>
        <w:t xml:space="preserve"> года.</w:t>
      </w:r>
    </w:p>
    <w:p w:rsidR="00A50BA4" w:rsidRDefault="008A7DBA" w:rsidP="000C521E">
      <w:pPr>
        <w:spacing w:line="276" w:lineRule="auto"/>
        <w:ind w:firstLine="709"/>
        <w:jc w:val="both"/>
        <w:rPr>
          <w:sz w:val="24"/>
          <w:szCs w:val="24"/>
          <w:highlight w:val="yellow"/>
        </w:rPr>
      </w:pPr>
      <w:r w:rsidRPr="003A3963">
        <w:rPr>
          <w:sz w:val="24"/>
          <w:szCs w:val="24"/>
        </w:rPr>
        <w:t>Однако</w:t>
      </w:r>
      <w:r w:rsidR="007B727C" w:rsidRPr="003A3963">
        <w:rPr>
          <w:sz w:val="24"/>
          <w:szCs w:val="24"/>
        </w:rPr>
        <w:t xml:space="preserve">, </w:t>
      </w:r>
      <w:r w:rsidRPr="0078137D">
        <w:rPr>
          <w:sz w:val="24"/>
          <w:szCs w:val="24"/>
        </w:rPr>
        <w:t>с учетом фактической ситуации, сложившейся в жилищном строительстве городского округа</w:t>
      </w:r>
      <w:r>
        <w:rPr>
          <w:sz w:val="24"/>
          <w:szCs w:val="24"/>
        </w:rPr>
        <w:t xml:space="preserve"> и зависящей в значительной степени от </w:t>
      </w:r>
      <w:r w:rsidR="000C521E">
        <w:rPr>
          <w:sz w:val="24"/>
          <w:szCs w:val="24"/>
        </w:rPr>
        <w:t xml:space="preserve">сложившихся </w:t>
      </w:r>
      <w:r>
        <w:rPr>
          <w:sz w:val="24"/>
          <w:szCs w:val="24"/>
        </w:rPr>
        <w:t>экономических факторов, которые негативно отражаются на отрасли, имеющей высокую кредитную нагрузку</w:t>
      </w:r>
      <w:r w:rsidR="003A3963">
        <w:rPr>
          <w:sz w:val="24"/>
          <w:szCs w:val="24"/>
        </w:rPr>
        <w:t xml:space="preserve">, </w:t>
      </w:r>
      <w:r w:rsidRPr="003A3963">
        <w:rPr>
          <w:sz w:val="24"/>
          <w:szCs w:val="24"/>
        </w:rPr>
        <w:t>о</w:t>
      </w:r>
      <w:r w:rsidR="007B727C" w:rsidRPr="003A3963">
        <w:rPr>
          <w:sz w:val="24"/>
          <w:szCs w:val="24"/>
        </w:rPr>
        <w:t xml:space="preserve">бъем ввода </w:t>
      </w:r>
      <w:r w:rsidRPr="003A3963">
        <w:rPr>
          <w:sz w:val="24"/>
          <w:szCs w:val="24"/>
        </w:rPr>
        <w:t xml:space="preserve">жилья на 2017 год </w:t>
      </w:r>
      <w:r w:rsidR="007B727C" w:rsidRPr="003A3963">
        <w:rPr>
          <w:sz w:val="24"/>
          <w:szCs w:val="24"/>
        </w:rPr>
        <w:t>оценивается на уровне 135</w:t>
      </w:r>
      <w:r w:rsidRPr="003A3963">
        <w:rPr>
          <w:sz w:val="24"/>
          <w:szCs w:val="24"/>
        </w:rPr>
        <w:t xml:space="preserve"> тыс. кв. м</w:t>
      </w:r>
      <w:r w:rsidR="007B727C" w:rsidRPr="003A3963">
        <w:rPr>
          <w:sz w:val="24"/>
          <w:szCs w:val="24"/>
        </w:rPr>
        <w:t>, что ниже плановой суммы (193</w:t>
      </w:r>
      <w:r w:rsidRPr="003A3963">
        <w:rPr>
          <w:sz w:val="24"/>
          <w:szCs w:val="24"/>
        </w:rPr>
        <w:t xml:space="preserve"> тыс. кв. м</w:t>
      </w:r>
      <w:r w:rsidR="007B727C" w:rsidRPr="003A3963">
        <w:rPr>
          <w:sz w:val="24"/>
          <w:szCs w:val="24"/>
        </w:rPr>
        <w:t>) на</w:t>
      </w:r>
      <w:r w:rsidRPr="003A3963">
        <w:rPr>
          <w:sz w:val="24"/>
          <w:szCs w:val="24"/>
        </w:rPr>
        <w:t xml:space="preserve"> 30,1 %.</w:t>
      </w:r>
      <w:r w:rsidR="007B727C" w:rsidRPr="003A3963">
        <w:rPr>
          <w:sz w:val="24"/>
          <w:szCs w:val="24"/>
        </w:rPr>
        <w:t xml:space="preserve"> </w:t>
      </w:r>
    </w:p>
    <w:p w:rsidR="008A7DBA" w:rsidRDefault="008A7DBA" w:rsidP="00F07BB6">
      <w:pPr>
        <w:ind w:firstLine="709"/>
        <w:jc w:val="center"/>
        <w:rPr>
          <w:sz w:val="24"/>
          <w:szCs w:val="24"/>
        </w:rPr>
      </w:pPr>
    </w:p>
    <w:p w:rsidR="00A50BA4" w:rsidRPr="00555214" w:rsidRDefault="00A50BA4" w:rsidP="00F07BB6">
      <w:pPr>
        <w:ind w:firstLine="709"/>
        <w:jc w:val="center"/>
        <w:rPr>
          <w:sz w:val="24"/>
          <w:szCs w:val="24"/>
        </w:rPr>
      </w:pPr>
      <w:r w:rsidRPr="00555214">
        <w:rPr>
          <w:sz w:val="24"/>
          <w:szCs w:val="24"/>
        </w:rPr>
        <w:t>Ожидаемое выполнение прогнозных показателей по разделу</w:t>
      </w:r>
    </w:p>
    <w:p w:rsidR="00A50BA4" w:rsidRPr="00555214" w:rsidRDefault="00A50BA4" w:rsidP="00F07BB6">
      <w:pPr>
        <w:ind w:firstLine="709"/>
        <w:jc w:val="center"/>
        <w:rPr>
          <w:sz w:val="24"/>
          <w:szCs w:val="24"/>
        </w:rPr>
      </w:pPr>
      <w:r w:rsidRPr="00555214">
        <w:rPr>
          <w:sz w:val="24"/>
          <w:szCs w:val="24"/>
        </w:rPr>
        <w:t>«Жилищное строительство» на 201</w:t>
      </w:r>
      <w:r w:rsidR="00555214" w:rsidRPr="00555214">
        <w:rPr>
          <w:sz w:val="24"/>
          <w:szCs w:val="24"/>
        </w:rPr>
        <w:t>7</w:t>
      </w:r>
      <w:r w:rsidRPr="00555214">
        <w:rPr>
          <w:sz w:val="24"/>
          <w:szCs w:val="24"/>
        </w:rPr>
        <w:t xml:space="preserve"> год</w:t>
      </w:r>
    </w:p>
    <w:p w:rsidR="00A50BA4" w:rsidRPr="00555214" w:rsidRDefault="00A50BA4" w:rsidP="00F07BB6">
      <w:pPr>
        <w:ind w:firstLine="709"/>
        <w:jc w:val="center"/>
        <w:rPr>
          <w:sz w:val="24"/>
          <w:szCs w:val="24"/>
        </w:rPr>
      </w:pPr>
    </w:p>
    <w:tbl>
      <w:tblPr>
        <w:tblW w:w="0" w:type="auto"/>
        <w:tblInd w:w="83" w:type="dxa"/>
        <w:tblLayout w:type="fixed"/>
        <w:tblLook w:val="0000" w:firstRow="0" w:lastRow="0" w:firstColumn="0" w:lastColumn="0" w:noHBand="0" w:noVBand="0"/>
      </w:tblPr>
      <w:tblGrid>
        <w:gridCol w:w="3286"/>
        <w:gridCol w:w="1417"/>
        <w:gridCol w:w="1559"/>
        <w:gridCol w:w="1560"/>
        <w:gridCol w:w="1559"/>
      </w:tblGrid>
      <w:tr w:rsidR="00A50BA4" w:rsidRPr="00555214" w:rsidTr="00FB4E2F">
        <w:trPr>
          <w:cantSplit/>
          <w:trHeight w:val="230"/>
        </w:trPr>
        <w:tc>
          <w:tcPr>
            <w:tcW w:w="3286" w:type="dxa"/>
            <w:vMerge w:val="restart"/>
            <w:tcBorders>
              <w:top w:val="single" w:sz="4" w:space="0" w:color="000000"/>
              <w:left w:val="single" w:sz="4" w:space="0" w:color="000000"/>
              <w:bottom w:val="single" w:sz="4" w:space="0" w:color="000000"/>
            </w:tcBorders>
          </w:tcPr>
          <w:p w:rsidR="00A50BA4" w:rsidRPr="00555214" w:rsidRDefault="00A50BA4" w:rsidP="00CC71EF">
            <w:pPr>
              <w:jc w:val="center"/>
              <w:rPr>
                <w:sz w:val="24"/>
                <w:szCs w:val="24"/>
              </w:rPr>
            </w:pPr>
            <w:r w:rsidRPr="00555214">
              <w:rPr>
                <w:sz w:val="24"/>
                <w:szCs w:val="24"/>
              </w:rPr>
              <w:t>Показатели</w:t>
            </w:r>
          </w:p>
        </w:tc>
        <w:tc>
          <w:tcPr>
            <w:tcW w:w="1417" w:type="dxa"/>
            <w:vMerge w:val="restart"/>
            <w:tcBorders>
              <w:top w:val="single" w:sz="4" w:space="0" w:color="000000"/>
              <w:left w:val="single" w:sz="4" w:space="0" w:color="000000"/>
              <w:bottom w:val="single" w:sz="4" w:space="0" w:color="000000"/>
            </w:tcBorders>
          </w:tcPr>
          <w:p w:rsidR="00A50BA4" w:rsidRPr="00555214" w:rsidRDefault="00A50BA4" w:rsidP="00FB4E2F">
            <w:pPr>
              <w:jc w:val="center"/>
              <w:rPr>
                <w:sz w:val="24"/>
                <w:szCs w:val="24"/>
              </w:rPr>
            </w:pPr>
            <w:r w:rsidRPr="00555214">
              <w:rPr>
                <w:sz w:val="24"/>
                <w:szCs w:val="24"/>
              </w:rPr>
              <w:t>Ед. изм.</w:t>
            </w:r>
          </w:p>
        </w:tc>
        <w:tc>
          <w:tcPr>
            <w:tcW w:w="3119" w:type="dxa"/>
            <w:gridSpan w:val="2"/>
            <w:tcBorders>
              <w:top w:val="single" w:sz="4" w:space="0" w:color="000000"/>
              <w:left w:val="single" w:sz="4" w:space="0" w:color="000000"/>
              <w:bottom w:val="single" w:sz="4" w:space="0" w:color="000000"/>
            </w:tcBorders>
          </w:tcPr>
          <w:p w:rsidR="00A50BA4" w:rsidRPr="00555214" w:rsidRDefault="00A50BA4" w:rsidP="00555214">
            <w:pPr>
              <w:jc w:val="center"/>
              <w:rPr>
                <w:sz w:val="24"/>
                <w:szCs w:val="24"/>
              </w:rPr>
            </w:pPr>
            <w:r w:rsidRPr="00555214">
              <w:rPr>
                <w:sz w:val="24"/>
                <w:szCs w:val="24"/>
              </w:rPr>
              <w:t>Прогноз на 201</w:t>
            </w:r>
            <w:r w:rsidR="00555214" w:rsidRPr="00555214">
              <w:rPr>
                <w:sz w:val="24"/>
                <w:szCs w:val="24"/>
              </w:rPr>
              <w:t>7</w:t>
            </w:r>
            <w:r w:rsidRPr="00555214">
              <w:rPr>
                <w:sz w:val="24"/>
                <w:szCs w:val="24"/>
              </w:rPr>
              <w:t xml:space="preserve"> год</w:t>
            </w:r>
          </w:p>
        </w:tc>
        <w:tc>
          <w:tcPr>
            <w:tcW w:w="1559" w:type="dxa"/>
            <w:vMerge w:val="restart"/>
            <w:tcBorders>
              <w:top w:val="single" w:sz="4" w:space="0" w:color="000000"/>
              <w:left w:val="single" w:sz="4" w:space="0" w:color="000000"/>
              <w:bottom w:val="single" w:sz="4" w:space="0" w:color="000000"/>
              <w:right w:val="single" w:sz="4" w:space="0" w:color="000000"/>
            </w:tcBorders>
          </w:tcPr>
          <w:p w:rsidR="00A50BA4" w:rsidRPr="00555214" w:rsidRDefault="00A50BA4" w:rsidP="00555214">
            <w:pPr>
              <w:jc w:val="center"/>
              <w:rPr>
                <w:sz w:val="24"/>
                <w:szCs w:val="24"/>
              </w:rPr>
            </w:pPr>
            <w:r w:rsidRPr="00555214">
              <w:rPr>
                <w:sz w:val="24"/>
                <w:szCs w:val="24"/>
              </w:rPr>
              <w:t>201</w:t>
            </w:r>
            <w:r w:rsidR="00555214" w:rsidRPr="00555214">
              <w:rPr>
                <w:sz w:val="24"/>
                <w:szCs w:val="24"/>
              </w:rPr>
              <w:t>7</w:t>
            </w:r>
            <w:r w:rsidRPr="00555214">
              <w:rPr>
                <w:sz w:val="24"/>
                <w:szCs w:val="24"/>
              </w:rPr>
              <w:t xml:space="preserve"> год (оценка)</w:t>
            </w:r>
          </w:p>
        </w:tc>
      </w:tr>
      <w:tr w:rsidR="00A50BA4" w:rsidRPr="00555214" w:rsidTr="00FB4E2F">
        <w:trPr>
          <w:trHeight w:val="115"/>
        </w:trPr>
        <w:tc>
          <w:tcPr>
            <w:tcW w:w="3286" w:type="dxa"/>
            <w:vMerge/>
            <w:tcBorders>
              <w:top w:val="single" w:sz="4" w:space="0" w:color="000000"/>
              <w:left w:val="single" w:sz="4" w:space="0" w:color="000000"/>
              <w:bottom w:val="single" w:sz="4" w:space="0" w:color="000000"/>
            </w:tcBorders>
          </w:tcPr>
          <w:p w:rsidR="00A50BA4" w:rsidRPr="00555214" w:rsidRDefault="00A50BA4" w:rsidP="00CC71EF">
            <w:pPr>
              <w:snapToGrid w:val="0"/>
              <w:rPr>
                <w:sz w:val="24"/>
                <w:szCs w:val="24"/>
              </w:rPr>
            </w:pPr>
          </w:p>
        </w:tc>
        <w:tc>
          <w:tcPr>
            <w:tcW w:w="1417" w:type="dxa"/>
            <w:vMerge/>
            <w:tcBorders>
              <w:top w:val="single" w:sz="4" w:space="0" w:color="000000"/>
              <w:left w:val="single" w:sz="4" w:space="0" w:color="000000"/>
              <w:bottom w:val="single" w:sz="4" w:space="0" w:color="000000"/>
            </w:tcBorders>
          </w:tcPr>
          <w:p w:rsidR="00A50BA4" w:rsidRPr="00555214" w:rsidRDefault="00A50BA4" w:rsidP="00CC71EF">
            <w:pPr>
              <w:snapToGrid w:val="0"/>
              <w:rPr>
                <w:sz w:val="24"/>
                <w:szCs w:val="24"/>
              </w:rPr>
            </w:pPr>
          </w:p>
        </w:tc>
        <w:tc>
          <w:tcPr>
            <w:tcW w:w="1559" w:type="dxa"/>
            <w:tcBorders>
              <w:left w:val="single" w:sz="4" w:space="0" w:color="000000"/>
              <w:bottom w:val="single" w:sz="4" w:space="0" w:color="000000"/>
            </w:tcBorders>
          </w:tcPr>
          <w:p w:rsidR="00A50BA4" w:rsidRPr="00555214" w:rsidRDefault="00A50BA4" w:rsidP="00CC71EF">
            <w:pPr>
              <w:jc w:val="center"/>
              <w:rPr>
                <w:sz w:val="24"/>
                <w:szCs w:val="24"/>
              </w:rPr>
            </w:pPr>
            <w:r w:rsidRPr="00555214">
              <w:rPr>
                <w:sz w:val="24"/>
                <w:szCs w:val="24"/>
              </w:rPr>
              <w:t>1 вариант</w:t>
            </w:r>
          </w:p>
        </w:tc>
        <w:tc>
          <w:tcPr>
            <w:tcW w:w="1560" w:type="dxa"/>
            <w:tcBorders>
              <w:left w:val="single" w:sz="4" w:space="0" w:color="000000"/>
              <w:bottom w:val="single" w:sz="4" w:space="0" w:color="000000"/>
            </w:tcBorders>
          </w:tcPr>
          <w:p w:rsidR="00A50BA4" w:rsidRPr="00555214" w:rsidRDefault="00A50BA4" w:rsidP="00CC71EF">
            <w:pPr>
              <w:ind w:firstLine="218"/>
              <w:jc w:val="center"/>
              <w:rPr>
                <w:sz w:val="24"/>
                <w:szCs w:val="24"/>
              </w:rPr>
            </w:pPr>
            <w:r w:rsidRPr="00555214">
              <w:rPr>
                <w:sz w:val="24"/>
                <w:szCs w:val="24"/>
              </w:rPr>
              <w:t>2 вариант</w:t>
            </w:r>
          </w:p>
        </w:tc>
        <w:tc>
          <w:tcPr>
            <w:tcW w:w="1559" w:type="dxa"/>
            <w:vMerge/>
            <w:tcBorders>
              <w:top w:val="single" w:sz="4" w:space="0" w:color="000000"/>
              <w:left w:val="single" w:sz="4" w:space="0" w:color="000000"/>
              <w:bottom w:val="single" w:sz="4" w:space="0" w:color="000000"/>
              <w:right w:val="single" w:sz="4" w:space="0" w:color="000000"/>
            </w:tcBorders>
          </w:tcPr>
          <w:p w:rsidR="00A50BA4" w:rsidRPr="00555214" w:rsidRDefault="00A50BA4" w:rsidP="00CC71EF">
            <w:pPr>
              <w:snapToGrid w:val="0"/>
              <w:rPr>
                <w:sz w:val="24"/>
                <w:szCs w:val="24"/>
              </w:rPr>
            </w:pPr>
          </w:p>
        </w:tc>
      </w:tr>
      <w:tr w:rsidR="00A50BA4" w:rsidRPr="005A34F1" w:rsidTr="008E79C1">
        <w:trPr>
          <w:trHeight w:val="954"/>
        </w:trPr>
        <w:tc>
          <w:tcPr>
            <w:tcW w:w="3286" w:type="dxa"/>
            <w:tcBorders>
              <w:left w:val="single" w:sz="4" w:space="0" w:color="000000"/>
              <w:bottom w:val="single" w:sz="4" w:space="0" w:color="000000"/>
            </w:tcBorders>
          </w:tcPr>
          <w:p w:rsidR="00A50BA4" w:rsidRPr="00555214" w:rsidRDefault="00A50BA4" w:rsidP="00CF1CBC">
            <w:pPr>
              <w:rPr>
                <w:iCs/>
                <w:sz w:val="24"/>
                <w:szCs w:val="24"/>
              </w:rPr>
            </w:pPr>
            <w:r w:rsidRPr="00555214">
              <w:rPr>
                <w:sz w:val="24"/>
                <w:szCs w:val="24"/>
              </w:rPr>
              <w:t>Ввод в эксплуатацию жилых домов (квартир) за счет всех источников финансирования</w:t>
            </w:r>
          </w:p>
        </w:tc>
        <w:tc>
          <w:tcPr>
            <w:tcW w:w="1417" w:type="dxa"/>
            <w:tcBorders>
              <w:left w:val="single" w:sz="4" w:space="0" w:color="000000"/>
              <w:bottom w:val="single" w:sz="4" w:space="0" w:color="000000"/>
            </w:tcBorders>
          </w:tcPr>
          <w:p w:rsidR="00A50BA4" w:rsidRPr="00555214" w:rsidRDefault="00A50BA4" w:rsidP="00CF1CBC">
            <w:pPr>
              <w:jc w:val="center"/>
              <w:rPr>
                <w:sz w:val="24"/>
                <w:szCs w:val="24"/>
              </w:rPr>
            </w:pPr>
            <w:r w:rsidRPr="00555214">
              <w:rPr>
                <w:iCs/>
                <w:sz w:val="24"/>
                <w:szCs w:val="24"/>
              </w:rPr>
              <w:t>тыс. кв. метров</w:t>
            </w:r>
          </w:p>
        </w:tc>
        <w:tc>
          <w:tcPr>
            <w:tcW w:w="1559" w:type="dxa"/>
            <w:tcBorders>
              <w:left w:val="single" w:sz="4" w:space="0" w:color="000000"/>
              <w:bottom w:val="single" w:sz="4" w:space="0" w:color="000000"/>
            </w:tcBorders>
            <w:vAlign w:val="center"/>
          </w:tcPr>
          <w:p w:rsidR="00A50BA4" w:rsidRPr="00555214" w:rsidRDefault="00555214" w:rsidP="00CF1CBC">
            <w:pPr>
              <w:jc w:val="center"/>
              <w:rPr>
                <w:sz w:val="24"/>
                <w:szCs w:val="24"/>
              </w:rPr>
            </w:pPr>
            <w:r w:rsidRPr="00555214">
              <w:rPr>
                <w:sz w:val="24"/>
                <w:szCs w:val="24"/>
              </w:rPr>
              <w:t>200,0</w:t>
            </w:r>
          </w:p>
        </w:tc>
        <w:tc>
          <w:tcPr>
            <w:tcW w:w="1560" w:type="dxa"/>
            <w:tcBorders>
              <w:left w:val="single" w:sz="4" w:space="0" w:color="000000"/>
              <w:bottom w:val="single" w:sz="4" w:space="0" w:color="000000"/>
            </w:tcBorders>
            <w:vAlign w:val="center"/>
          </w:tcPr>
          <w:p w:rsidR="00A50BA4" w:rsidRPr="00555214" w:rsidRDefault="00555214" w:rsidP="00CF1CBC">
            <w:pPr>
              <w:jc w:val="center"/>
              <w:rPr>
                <w:iCs/>
                <w:sz w:val="24"/>
                <w:szCs w:val="24"/>
              </w:rPr>
            </w:pPr>
            <w:r w:rsidRPr="00555214">
              <w:rPr>
                <w:iCs/>
                <w:sz w:val="24"/>
                <w:szCs w:val="24"/>
              </w:rPr>
              <w:t>314,7</w:t>
            </w:r>
          </w:p>
        </w:tc>
        <w:tc>
          <w:tcPr>
            <w:tcW w:w="1559" w:type="dxa"/>
            <w:tcBorders>
              <w:left w:val="single" w:sz="4" w:space="0" w:color="000000"/>
              <w:bottom w:val="single" w:sz="4" w:space="0" w:color="000000"/>
              <w:right w:val="single" w:sz="4" w:space="0" w:color="000000"/>
            </w:tcBorders>
            <w:vAlign w:val="center"/>
          </w:tcPr>
          <w:p w:rsidR="00A50BA4" w:rsidRPr="00555214" w:rsidRDefault="00555214" w:rsidP="00CF1CBC">
            <w:pPr>
              <w:jc w:val="center"/>
              <w:rPr>
                <w:sz w:val="24"/>
                <w:szCs w:val="24"/>
              </w:rPr>
            </w:pPr>
            <w:r w:rsidRPr="00555214">
              <w:rPr>
                <w:iCs/>
                <w:sz w:val="24"/>
                <w:szCs w:val="24"/>
              </w:rPr>
              <w:t>135,0</w:t>
            </w:r>
          </w:p>
        </w:tc>
      </w:tr>
    </w:tbl>
    <w:p w:rsidR="00475F86" w:rsidRDefault="00475F86" w:rsidP="003A3963">
      <w:pPr>
        <w:spacing w:line="276" w:lineRule="auto"/>
        <w:ind w:firstLine="709"/>
        <w:jc w:val="both"/>
        <w:rPr>
          <w:sz w:val="24"/>
          <w:szCs w:val="24"/>
        </w:rPr>
      </w:pPr>
    </w:p>
    <w:p w:rsidR="0078137D" w:rsidRPr="0078137D" w:rsidRDefault="0078137D" w:rsidP="003A3963">
      <w:pPr>
        <w:spacing w:line="276" w:lineRule="auto"/>
        <w:ind w:firstLine="709"/>
        <w:jc w:val="both"/>
        <w:rPr>
          <w:sz w:val="24"/>
          <w:szCs w:val="24"/>
        </w:rPr>
      </w:pPr>
      <w:r w:rsidRPr="0078137D">
        <w:rPr>
          <w:sz w:val="24"/>
          <w:szCs w:val="24"/>
        </w:rPr>
        <w:t xml:space="preserve">Значение показателя </w:t>
      </w:r>
      <w:r w:rsidR="003A3963">
        <w:rPr>
          <w:sz w:val="24"/>
          <w:szCs w:val="24"/>
        </w:rPr>
        <w:t xml:space="preserve">на 2017 год </w:t>
      </w:r>
      <w:r w:rsidRPr="0078137D">
        <w:rPr>
          <w:sz w:val="24"/>
          <w:szCs w:val="24"/>
        </w:rPr>
        <w:t>может быть достигнуто при условии разрешения всех вопросов, связанных с вводом в эксплуатацию жилых домов.</w:t>
      </w:r>
    </w:p>
    <w:p w:rsidR="00A50BA4" w:rsidRPr="003A3963" w:rsidRDefault="00D93B0F" w:rsidP="00A423B6">
      <w:pPr>
        <w:spacing w:line="276" w:lineRule="auto"/>
        <w:ind w:firstLine="709"/>
        <w:jc w:val="both"/>
        <w:rPr>
          <w:sz w:val="24"/>
          <w:szCs w:val="24"/>
        </w:rPr>
      </w:pPr>
      <w:r w:rsidRPr="003A3963">
        <w:rPr>
          <w:sz w:val="24"/>
          <w:szCs w:val="24"/>
        </w:rPr>
        <w:t>Н</w:t>
      </w:r>
      <w:r w:rsidR="00A50BA4" w:rsidRPr="003A3963">
        <w:rPr>
          <w:sz w:val="24"/>
          <w:szCs w:val="24"/>
        </w:rPr>
        <w:t>а ввод жилья по-прежнему продолжают оказывать влияние следующие негативные факторы:</w:t>
      </w:r>
    </w:p>
    <w:p w:rsidR="00A50BA4" w:rsidRPr="003A3963" w:rsidRDefault="00A50BA4" w:rsidP="00A423B6">
      <w:pPr>
        <w:spacing w:line="276" w:lineRule="auto"/>
        <w:ind w:firstLine="709"/>
        <w:jc w:val="both"/>
        <w:rPr>
          <w:sz w:val="24"/>
          <w:szCs w:val="24"/>
        </w:rPr>
      </w:pPr>
      <w:r w:rsidRPr="003A3963">
        <w:rPr>
          <w:sz w:val="24"/>
          <w:szCs w:val="24"/>
        </w:rPr>
        <w:t xml:space="preserve">-  дефицит свободных финансовых средств у застройщиков; </w:t>
      </w:r>
    </w:p>
    <w:p w:rsidR="00A50BA4" w:rsidRPr="003A3963" w:rsidRDefault="00A50BA4" w:rsidP="00E251BD">
      <w:pPr>
        <w:spacing w:line="276" w:lineRule="auto"/>
        <w:ind w:firstLine="709"/>
        <w:jc w:val="both"/>
        <w:rPr>
          <w:sz w:val="24"/>
          <w:szCs w:val="24"/>
        </w:rPr>
      </w:pPr>
      <w:r w:rsidRPr="003A3963">
        <w:rPr>
          <w:sz w:val="24"/>
          <w:szCs w:val="24"/>
        </w:rPr>
        <w:t>-  отсутствие полного пакета документов о получении разрешения на строительство;</w:t>
      </w:r>
    </w:p>
    <w:p w:rsidR="00A50BA4" w:rsidRPr="00D93B0F" w:rsidRDefault="00A50BA4" w:rsidP="00A423B6">
      <w:pPr>
        <w:spacing w:line="276" w:lineRule="auto"/>
        <w:ind w:firstLine="709"/>
        <w:jc w:val="both"/>
        <w:rPr>
          <w:sz w:val="24"/>
          <w:szCs w:val="24"/>
        </w:rPr>
      </w:pPr>
      <w:r w:rsidRPr="003A3963">
        <w:rPr>
          <w:sz w:val="24"/>
          <w:szCs w:val="24"/>
        </w:rPr>
        <w:t>- высокий уровень платы за подключение новых объектов строительства к инженерным сетям;</w:t>
      </w:r>
    </w:p>
    <w:p w:rsidR="00A50BA4" w:rsidRPr="00D93B0F" w:rsidRDefault="00A50BA4" w:rsidP="00A423B6">
      <w:pPr>
        <w:spacing w:line="276" w:lineRule="auto"/>
        <w:ind w:firstLine="709"/>
        <w:jc w:val="both"/>
        <w:rPr>
          <w:sz w:val="24"/>
          <w:szCs w:val="24"/>
        </w:rPr>
      </w:pPr>
      <w:r w:rsidRPr="00D93B0F">
        <w:rPr>
          <w:sz w:val="24"/>
          <w:szCs w:val="24"/>
        </w:rPr>
        <w:t>-  сложная и длительная процедура выделения земельных участков под жилищное строительство.</w:t>
      </w:r>
    </w:p>
    <w:p w:rsidR="00A50BA4" w:rsidRPr="00D93B0F" w:rsidRDefault="00C70EBF" w:rsidP="00A423B6">
      <w:pPr>
        <w:spacing w:line="276" w:lineRule="auto"/>
        <w:ind w:firstLine="709"/>
        <w:jc w:val="both"/>
        <w:rPr>
          <w:sz w:val="24"/>
          <w:szCs w:val="24"/>
        </w:rPr>
      </w:pPr>
      <w:r>
        <w:rPr>
          <w:sz w:val="24"/>
          <w:szCs w:val="24"/>
        </w:rPr>
        <w:t>Н</w:t>
      </w:r>
      <w:r w:rsidR="00A50BA4" w:rsidRPr="00D93B0F">
        <w:rPr>
          <w:sz w:val="24"/>
          <w:szCs w:val="24"/>
        </w:rPr>
        <w:t xml:space="preserve">а территории городского округа </w:t>
      </w:r>
      <w:r w:rsidR="00A50BA4" w:rsidRPr="00C70EBF">
        <w:rPr>
          <w:sz w:val="24"/>
          <w:szCs w:val="24"/>
        </w:rPr>
        <w:t>находится 6 проблемных</w:t>
      </w:r>
      <w:r w:rsidR="00A50BA4" w:rsidRPr="00D93B0F">
        <w:rPr>
          <w:sz w:val="24"/>
          <w:szCs w:val="24"/>
        </w:rPr>
        <w:t xml:space="preserve"> объектов жилищного строительства. В рамках мероприятий по завершению их строительства и вводу в эксплуатацию, </w:t>
      </w:r>
      <w:r w:rsidR="00D93B0F" w:rsidRPr="00D93B0F">
        <w:rPr>
          <w:sz w:val="24"/>
          <w:szCs w:val="24"/>
        </w:rPr>
        <w:t>администрация</w:t>
      </w:r>
      <w:r w:rsidR="00A50BA4" w:rsidRPr="00D93B0F">
        <w:rPr>
          <w:sz w:val="24"/>
          <w:szCs w:val="24"/>
        </w:rPr>
        <w:t xml:space="preserve"> городского округа Тольятти осуществляет ряд мероприятий:</w:t>
      </w:r>
    </w:p>
    <w:p w:rsidR="00A50BA4" w:rsidRPr="00D93B0F" w:rsidRDefault="00A50BA4" w:rsidP="00C70EBF">
      <w:pPr>
        <w:spacing w:line="276" w:lineRule="auto"/>
        <w:ind w:firstLine="709"/>
        <w:jc w:val="both"/>
        <w:rPr>
          <w:sz w:val="24"/>
          <w:szCs w:val="24"/>
        </w:rPr>
      </w:pPr>
      <w:r w:rsidRPr="00D93B0F">
        <w:rPr>
          <w:sz w:val="24"/>
          <w:szCs w:val="24"/>
        </w:rPr>
        <w:t xml:space="preserve">- постоянное взаимодействие с </w:t>
      </w:r>
      <w:r w:rsidR="00D544BC" w:rsidRPr="00D93B0F">
        <w:rPr>
          <w:sz w:val="24"/>
          <w:szCs w:val="24"/>
        </w:rPr>
        <w:t>министерством строительства и жилищно-коммунального хозяйства Самарской области</w:t>
      </w:r>
      <w:r w:rsidRPr="00D93B0F">
        <w:rPr>
          <w:sz w:val="24"/>
          <w:szCs w:val="24"/>
        </w:rPr>
        <w:t>, участие в совещаниях по проблемным объектам, на которых обсуждаются неординарные правовые решения проблем участников долевого строительства;</w:t>
      </w:r>
    </w:p>
    <w:p w:rsidR="00A50BA4" w:rsidRDefault="00A50BA4" w:rsidP="00C70EBF">
      <w:pPr>
        <w:spacing w:line="276" w:lineRule="auto"/>
        <w:ind w:firstLine="709"/>
        <w:jc w:val="both"/>
        <w:rPr>
          <w:sz w:val="24"/>
          <w:szCs w:val="24"/>
        </w:rPr>
      </w:pPr>
      <w:r w:rsidRPr="00D93B0F">
        <w:rPr>
          <w:sz w:val="24"/>
          <w:szCs w:val="24"/>
        </w:rPr>
        <w:t>- проведение информационно-консультационной работы с населением по проблемным объектам жилищного строительства.</w:t>
      </w:r>
    </w:p>
    <w:p w:rsidR="00C70EBF" w:rsidRPr="00C70EBF" w:rsidRDefault="00C70EBF" w:rsidP="003A3963">
      <w:pPr>
        <w:spacing w:line="276" w:lineRule="auto"/>
        <w:ind w:firstLine="709"/>
        <w:jc w:val="both"/>
        <w:rPr>
          <w:sz w:val="24"/>
          <w:szCs w:val="24"/>
        </w:rPr>
      </w:pPr>
      <w:r w:rsidRPr="00C70EBF">
        <w:rPr>
          <w:sz w:val="24"/>
          <w:szCs w:val="24"/>
        </w:rPr>
        <w:t>В настоящее время стоит вопрос об исключении из перечня проблемных объект</w:t>
      </w:r>
      <w:r>
        <w:rPr>
          <w:sz w:val="24"/>
          <w:szCs w:val="24"/>
        </w:rPr>
        <w:t>ов</w:t>
      </w:r>
      <w:r w:rsidRPr="00C70EBF">
        <w:rPr>
          <w:sz w:val="24"/>
          <w:szCs w:val="24"/>
        </w:rPr>
        <w:t xml:space="preserve"> </w:t>
      </w:r>
      <w:r>
        <w:rPr>
          <w:sz w:val="24"/>
          <w:szCs w:val="24"/>
        </w:rPr>
        <w:t>жилой застройки, расположенной по адресу: мкр. Шлюзовой, ул. Гидротехническая, 36,</w:t>
      </w:r>
      <w:r w:rsidRPr="00C70EBF">
        <w:rPr>
          <w:sz w:val="24"/>
          <w:szCs w:val="24"/>
        </w:rPr>
        <w:t xml:space="preserve"> поскольку права дольщиков будут удовлетворены путем предоставления квартир после ввода объекта капитального строительства - жилого дома, расположенного по адресу: г. Самара, ул. Печерская, д. 25. Планируемая дата ввода объекта –</w:t>
      </w:r>
      <w:r>
        <w:rPr>
          <w:sz w:val="24"/>
          <w:szCs w:val="24"/>
        </w:rPr>
        <w:t xml:space="preserve"> </w:t>
      </w:r>
      <w:r w:rsidRPr="00C70EBF">
        <w:rPr>
          <w:sz w:val="24"/>
          <w:szCs w:val="24"/>
        </w:rPr>
        <w:t>4 квартал 2017</w:t>
      </w:r>
      <w:r>
        <w:rPr>
          <w:sz w:val="24"/>
          <w:szCs w:val="24"/>
        </w:rPr>
        <w:t xml:space="preserve"> </w:t>
      </w:r>
      <w:r w:rsidRPr="00C70EBF">
        <w:rPr>
          <w:sz w:val="24"/>
          <w:szCs w:val="24"/>
        </w:rPr>
        <w:t>г</w:t>
      </w:r>
      <w:r>
        <w:rPr>
          <w:sz w:val="24"/>
          <w:szCs w:val="24"/>
        </w:rPr>
        <w:t>ода</w:t>
      </w:r>
      <w:r w:rsidRPr="00C70EBF">
        <w:rPr>
          <w:sz w:val="24"/>
          <w:szCs w:val="24"/>
        </w:rPr>
        <w:t>. Предварительное распределение квартир состоялось в мае 2017</w:t>
      </w:r>
      <w:r>
        <w:rPr>
          <w:sz w:val="24"/>
          <w:szCs w:val="24"/>
        </w:rPr>
        <w:t xml:space="preserve"> </w:t>
      </w:r>
      <w:r w:rsidRPr="00C70EBF">
        <w:rPr>
          <w:sz w:val="24"/>
          <w:szCs w:val="24"/>
        </w:rPr>
        <w:t>г</w:t>
      </w:r>
      <w:r>
        <w:rPr>
          <w:sz w:val="24"/>
          <w:szCs w:val="24"/>
        </w:rPr>
        <w:t>ода</w:t>
      </w:r>
      <w:r w:rsidRPr="00C70EBF">
        <w:rPr>
          <w:sz w:val="24"/>
          <w:szCs w:val="24"/>
        </w:rPr>
        <w:t>.</w:t>
      </w:r>
    </w:p>
    <w:p w:rsidR="00A50BA4" w:rsidRPr="00D93B0F" w:rsidRDefault="00A50BA4" w:rsidP="003A3963">
      <w:pPr>
        <w:spacing w:line="276" w:lineRule="auto"/>
        <w:ind w:firstLine="709"/>
        <w:jc w:val="both"/>
        <w:rPr>
          <w:sz w:val="24"/>
          <w:szCs w:val="24"/>
        </w:rPr>
      </w:pPr>
      <w:r w:rsidRPr="00D93B0F">
        <w:rPr>
          <w:sz w:val="24"/>
          <w:szCs w:val="24"/>
        </w:rPr>
        <w:t>Восстановление строительной отрасли города напрямую зависит от увеличения платежеспособности населения для приобретения жилья, повышения инвестиционного спроса на недвижимость, активности участия строительных компаний городского округа в федеральных и областных программах.</w:t>
      </w:r>
    </w:p>
    <w:p w:rsidR="00A50BA4" w:rsidRPr="00B259C2" w:rsidRDefault="00A50BA4" w:rsidP="003A3963">
      <w:pPr>
        <w:spacing w:line="276" w:lineRule="auto"/>
        <w:ind w:firstLine="709"/>
        <w:jc w:val="both"/>
        <w:rPr>
          <w:sz w:val="24"/>
          <w:szCs w:val="24"/>
        </w:rPr>
      </w:pPr>
      <w:r w:rsidRPr="00B259C2">
        <w:rPr>
          <w:sz w:val="24"/>
          <w:szCs w:val="24"/>
        </w:rPr>
        <w:t>На территории городского округа Тольятти реализуется государственная программа Самарской области «Развитие жилищного строительства в Самарской области» до 2020 года, План мероприятий («дорожная карта») «Улучшение инвестиционного климата в сфере строительства на территории Самарской области».</w:t>
      </w:r>
    </w:p>
    <w:p w:rsidR="00A50BA4" w:rsidRPr="00B259C2" w:rsidRDefault="00A50BA4" w:rsidP="003A3963">
      <w:pPr>
        <w:spacing w:line="276" w:lineRule="auto"/>
        <w:ind w:firstLine="709"/>
        <w:jc w:val="both"/>
        <w:rPr>
          <w:sz w:val="24"/>
          <w:szCs w:val="24"/>
        </w:rPr>
      </w:pPr>
      <w:r w:rsidRPr="00B259C2">
        <w:rPr>
          <w:sz w:val="24"/>
          <w:szCs w:val="24"/>
        </w:rPr>
        <w:t>Предоставление молодым семьям социальных выплат осуществляется в рамках реализации подпрограммы «Обеспечение жильем молодых семей» федеральной целевой программы «Жилище» на 2015-2020 годы, подпрограммы «Молодой семье – доступное жилье» до 2020 года государственной программы Самарской области «Развитие жилищного строительства в Самарской области» до 2020 года,</w:t>
      </w:r>
      <w:r w:rsidR="006E7153" w:rsidRPr="003A3963">
        <w:rPr>
          <w:sz w:val="24"/>
          <w:szCs w:val="24"/>
        </w:rPr>
        <w:t xml:space="preserve"> </w:t>
      </w:r>
      <w:r w:rsidR="006E7153" w:rsidRPr="00B259C2">
        <w:rPr>
          <w:sz w:val="24"/>
          <w:szCs w:val="24"/>
        </w:rPr>
        <w:t>утвержденной постановлением Правительства Самарской области от 27.11.2013 № 684,</w:t>
      </w:r>
      <w:r w:rsidRPr="00B259C2">
        <w:rPr>
          <w:sz w:val="24"/>
          <w:szCs w:val="24"/>
        </w:rPr>
        <w:t xml:space="preserve"> муниципальной программы городского округа Тольятти «Молодой семье – доступное жилье» на 2014-2020 годы.  </w:t>
      </w:r>
    </w:p>
    <w:p w:rsidR="00A50BA4" w:rsidRDefault="00A50BA4" w:rsidP="003A3963">
      <w:pPr>
        <w:spacing w:line="276" w:lineRule="auto"/>
        <w:ind w:firstLine="709"/>
        <w:jc w:val="both"/>
        <w:rPr>
          <w:sz w:val="24"/>
          <w:szCs w:val="24"/>
        </w:rPr>
      </w:pPr>
      <w:r w:rsidRPr="00B259C2">
        <w:rPr>
          <w:sz w:val="24"/>
          <w:szCs w:val="24"/>
        </w:rPr>
        <w:t>Выполнение мероприятий подпрограммы обеспечивается софинансированием средств федерального бюджета, бюджета Самарской области и бюджета городского округа Тольятти.</w:t>
      </w:r>
    </w:p>
    <w:p w:rsidR="00B259C2" w:rsidRPr="00D018AC" w:rsidRDefault="00B259C2" w:rsidP="003A3963">
      <w:pPr>
        <w:spacing w:line="276" w:lineRule="auto"/>
        <w:ind w:firstLine="709"/>
        <w:jc w:val="both"/>
        <w:rPr>
          <w:sz w:val="24"/>
          <w:szCs w:val="24"/>
        </w:rPr>
      </w:pPr>
      <w:r w:rsidRPr="00D018AC">
        <w:rPr>
          <w:sz w:val="24"/>
          <w:szCs w:val="24"/>
        </w:rPr>
        <w:t>В бюджете городского округа Тольятти в 2017 году на предоставление социальных выплат на улучшение жилищных условий молодых семей из списка 2017 года предусмотрены средства в размере 32</w:t>
      </w:r>
      <w:r w:rsidR="0064755B">
        <w:rPr>
          <w:sz w:val="24"/>
          <w:szCs w:val="24"/>
        </w:rPr>
        <w:t xml:space="preserve"> </w:t>
      </w:r>
      <w:r w:rsidRPr="00D018AC">
        <w:rPr>
          <w:sz w:val="24"/>
          <w:szCs w:val="24"/>
        </w:rPr>
        <w:t xml:space="preserve">351,0 тыс. руб. </w:t>
      </w:r>
    </w:p>
    <w:p w:rsidR="00A50BA4" w:rsidRDefault="00A50BA4" w:rsidP="003A3963">
      <w:pPr>
        <w:spacing w:line="276" w:lineRule="auto"/>
        <w:ind w:firstLine="709"/>
        <w:jc w:val="both"/>
        <w:rPr>
          <w:sz w:val="24"/>
          <w:szCs w:val="24"/>
        </w:rPr>
      </w:pPr>
      <w:r w:rsidRPr="00B259C2">
        <w:rPr>
          <w:sz w:val="24"/>
          <w:szCs w:val="24"/>
        </w:rPr>
        <w:t>В отчетном периоде был утвержден норматив стоимости 1 квадратного метра общей площади жилого помещения по городскому округу Тольятти на 1 и 2 кварталы 201</w:t>
      </w:r>
      <w:r w:rsidR="00B259C2" w:rsidRPr="00B259C2">
        <w:rPr>
          <w:sz w:val="24"/>
          <w:szCs w:val="24"/>
        </w:rPr>
        <w:t>7</w:t>
      </w:r>
      <w:r w:rsidRPr="00B259C2">
        <w:rPr>
          <w:sz w:val="24"/>
          <w:szCs w:val="24"/>
        </w:rPr>
        <w:t xml:space="preserve"> года для расчета размеров социальных выплат молодым семьям. </w:t>
      </w:r>
    </w:p>
    <w:p w:rsidR="00B259C2" w:rsidRDefault="00B259C2" w:rsidP="003A3963">
      <w:pPr>
        <w:spacing w:line="276" w:lineRule="auto"/>
        <w:ind w:firstLine="709"/>
        <w:jc w:val="both"/>
        <w:rPr>
          <w:sz w:val="24"/>
          <w:szCs w:val="24"/>
        </w:rPr>
      </w:pPr>
      <w:r w:rsidRPr="00D018AC">
        <w:rPr>
          <w:sz w:val="24"/>
          <w:szCs w:val="24"/>
        </w:rPr>
        <w:t xml:space="preserve">В апреле </w:t>
      </w:r>
      <w:r>
        <w:rPr>
          <w:sz w:val="24"/>
          <w:szCs w:val="24"/>
        </w:rPr>
        <w:t xml:space="preserve">2017 года </w:t>
      </w:r>
      <w:r w:rsidRPr="00D018AC">
        <w:rPr>
          <w:sz w:val="24"/>
          <w:szCs w:val="24"/>
        </w:rPr>
        <w:t>в бюджет городского округа поступили средства вышестоящих бюджетов.</w:t>
      </w:r>
    </w:p>
    <w:p w:rsidR="006D5094" w:rsidRDefault="00B259C2" w:rsidP="003A3963">
      <w:pPr>
        <w:spacing w:line="276" w:lineRule="auto"/>
        <w:ind w:firstLine="709"/>
        <w:jc w:val="both"/>
        <w:rPr>
          <w:sz w:val="24"/>
          <w:szCs w:val="24"/>
        </w:rPr>
      </w:pPr>
      <w:r>
        <w:rPr>
          <w:sz w:val="24"/>
          <w:szCs w:val="24"/>
        </w:rPr>
        <w:t>По состоянию на 01.07.2017 г. молодым семьям из списка 2017 года выдано 130 свидетельств</w:t>
      </w:r>
      <w:r>
        <w:rPr>
          <w:sz w:val="24"/>
          <w:szCs w:val="24"/>
        </w:rPr>
        <w:tab/>
        <w:t>о праве на получение социальной в</w:t>
      </w:r>
      <w:r w:rsidR="006D5094">
        <w:rPr>
          <w:sz w:val="24"/>
          <w:szCs w:val="24"/>
        </w:rPr>
        <w:t>ыплаты, из которых оплачено 19.</w:t>
      </w:r>
    </w:p>
    <w:p w:rsidR="00A50BA4" w:rsidRPr="0082039B" w:rsidRDefault="00B259C2" w:rsidP="003A3963">
      <w:pPr>
        <w:spacing w:line="276" w:lineRule="auto"/>
        <w:ind w:firstLine="709"/>
        <w:jc w:val="both"/>
        <w:rPr>
          <w:sz w:val="24"/>
          <w:szCs w:val="24"/>
        </w:rPr>
      </w:pPr>
      <w:r w:rsidRPr="00AA0CA9">
        <w:rPr>
          <w:sz w:val="24"/>
          <w:szCs w:val="24"/>
        </w:rPr>
        <w:t xml:space="preserve">По состоянию на 01.07.2017 г. на учете для обеспечения жилыми помещениями за счет средств федерального и областного бюджетов состоят 826 получателей из числа льготных категорий граждан в соответствии с действующим законодательством Российской Федерации. </w:t>
      </w:r>
      <w:r w:rsidR="00A50BA4" w:rsidRPr="00B259C2">
        <w:rPr>
          <w:sz w:val="24"/>
          <w:szCs w:val="24"/>
        </w:rPr>
        <w:t>В 1 полугодии 201</w:t>
      </w:r>
      <w:r w:rsidRPr="00B259C2">
        <w:rPr>
          <w:sz w:val="24"/>
          <w:szCs w:val="24"/>
        </w:rPr>
        <w:t>7</w:t>
      </w:r>
      <w:r w:rsidR="00A50BA4" w:rsidRPr="00B259C2">
        <w:rPr>
          <w:sz w:val="24"/>
          <w:szCs w:val="24"/>
        </w:rPr>
        <w:t xml:space="preserve"> года перечислены субвенции </w:t>
      </w:r>
      <w:r w:rsidR="00A50BA4" w:rsidRPr="0082039B">
        <w:rPr>
          <w:sz w:val="24"/>
          <w:szCs w:val="24"/>
        </w:rPr>
        <w:t xml:space="preserve">в размере </w:t>
      </w:r>
      <w:r w:rsidRPr="0082039B">
        <w:rPr>
          <w:sz w:val="24"/>
          <w:szCs w:val="24"/>
        </w:rPr>
        <w:t>17 278,6</w:t>
      </w:r>
      <w:r w:rsidR="00A50BA4" w:rsidRPr="0082039B">
        <w:rPr>
          <w:sz w:val="24"/>
          <w:szCs w:val="24"/>
        </w:rPr>
        <w:t xml:space="preserve"> тыс. руб. на предоставление 1</w:t>
      </w:r>
      <w:r w:rsidRPr="0082039B">
        <w:rPr>
          <w:sz w:val="24"/>
          <w:szCs w:val="24"/>
        </w:rPr>
        <w:t>5</w:t>
      </w:r>
      <w:r w:rsidR="00A50BA4" w:rsidRPr="0082039B">
        <w:rPr>
          <w:sz w:val="24"/>
          <w:szCs w:val="24"/>
        </w:rPr>
        <w:t xml:space="preserve"> социальных выплат, из которых реализовано </w:t>
      </w:r>
      <w:r w:rsidRPr="0082039B">
        <w:rPr>
          <w:sz w:val="24"/>
          <w:szCs w:val="24"/>
        </w:rPr>
        <w:t>7</w:t>
      </w:r>
      <w:r w:rsidR="00A50BA4" w:rsidRPr="0082039B">
        <w:rPr>
          <w:sz w:val="24"/>
          <w:szCs w:val="24"/>
        </w:rPr>
        <w:t xml:space="preserve"> социальных выплат, выдано </w:t>
      </w:r>
      <w:r w:rsidRPr="0082039B">
        <w:rPr>
          <w:sz w:val="24"/>
          <w:szCs w:val="24"/>
        </w:rPr>
        <w:t>15</w:t>
      </w:r>
      <w:r w:rsidR="00A50BA4" w:rsidRPr="0082039B">
        <w:rPr>
          <w:sz w:val="24"/>
          <w:szCs w:val="24"/>
        </w:rPr>
        <w:t xml:space="preserve"> государственных жилищных сертификатов, </w:t>
      </w:r>
      <w:r w:rsidRPr="0082039B">
        <w:rPr>
          <w:sz w:val="24"/>
          <w:szCs w:val="24"/>
        </w:rPr>
        <w:t>77</w:t>
      </w:r>
      <w:r w:rsidR="00A50BA4" w:rsidRPr="0082039B">
        <w:rPr>
          <w:sz w:val="24"/>
          <w:szCs w:val="24"/>
        </w:rPr>
        <w:t xml:space="preserve"> сем</w:t>
      </w:r>
      <w:r w:rsidRPr="0082039B">
        <w:rPr>
          <w:sz w:val="24"/>
          <w:szCs w:val="24"/>
        </w:rPr>
        <w:t>ей</w:t>
      </w:r>
      <w:r w:rsidR="00A50BA4" w:rsidRPr="0082039B">
        <w:rPr>
          <w:sz w:val="24"/>
          <w:szCs w:val="24"/>
        </w:rPr>
        <w:t xml:space="preserve"> обеспечен</w:t>
      </w:r>
      <w:r w:rsidRPr="0082039B">
        <w:rPr>
          <w:sz w:val="24"/>
          <w:szCs w:val="24"/>
        </w:rPr>
        <w:t>ы</w:t>
      </w:r>
      <w:r w:rsidR="00A50BA4" w:rsidRPr="0082039B">
        <w:rPr>
          <w:sz w:val="24"/>
          <w:szCs w:val="24"/>
        </w:rPr>
        <w:t xml:space="preserve"> жилыми помещениями муниципального жилищного фонда по договорам социального найма.</w:t>
      </w:r>
    </w:p>
    <w:p w:rsidR="006C2CF0" w:rsidRDefault="006C2CF0" w:rsidP="00AD29B1">
      <w:pPr>
        <w:pStyle w:val="aff1"/>
        <w:spacing w:line="276" w:lineRule="auto"/>
        <w:ind w:firstLine="0"/>
        <w:jc w:val="center"/>
        <w:rPr>
          <w:b/>
          <w:bCs/>
          <w:sz w:val="24"/>
          <w:szCs w:val="24"/>
        </w:rPr>
      </w:pPr>
    </w:p>
    <w:p w:rsidR="00A50BA4" w:rsidRPr="00FB51D0" w:rsidRDefault="00A50BA4" w:rsidP="00AD29B1">
      <w:pPr>
        <w:pStyle w:val="aff1"/>
        <w:spacing w:line="276" w:lineRule="auto"/>
        <w:ind w:firstLine="0"/>
        <w:jc w:val="center"/>
        <w:rPr>
          <w:b/>
          <w:bCs/>
          <w:sz w:val="24"/>
          <w:szCs w:val="24"/>
        </w:rPr>
      </w:pPr>
      <w:r w:rsidRPr="00FB51D0">
        <w:rPr>
          <w:b/>
          <w:bCs/>
          <w:sz w:val="24"/>
          <w:szCs w:val="24"/>
        </w:rPr>
        <w:t>Финансы (сводный финансовый баланс)</w:t>
      </w:r>
    </w:p>
    <w:p w:rsidR="00A50BA4" w:rsidRDefault="00A50BA4" w:rsidP="00CC71EF">
      <w:pPr>
        <w:pStyle w:val="aff1"/>
        <w:spacing w:line="276" w:lineRule="auto"/>
        <w:jc w:val="center"/>
        <w:rPr>
          <w:b/>
          <w:bCs/>
          <w:sz w:val="24"/>
          <w:szCs w:val="24"/>
          <w:highlight w:val="yellow"/>
        </w:rPr>
      </w:pPr>
    </w:p>
    <w:p w:rsidR="005A227E" w:rsidRPr="002B0189" w:rsidRDefault="005A227E" w:rsidP="005A227E">
      <w:pPr>
        <w:pStyle w:val="aff1"/>
        <w:spacing w:line="276" w:lineRule="auto"/>
        <w:rPr>
          <w:sz w:val="24"/>
          <w:szCs w:val="24"/>
        </w:rPr>
      </w:pPr>
      <w:r w:rsidRPr="000E5F1C">
        <w:rPr>
          <w:sz w:val="24"/>
          <w:szCs w:val="24"/>
        </w:rPr>
        <w:t>Финанс</w:t>
      </w:r>
      <w:r>
        <w:rPr>
          <w:sz w:val="24"/>
          <w:szCs w:val="24"/>
        </w:rPr>
        <w:t>овая сфера</w:t>
      </w:r>
      <w:r w:rsidRPr="000E5F1C">
        <w:rPr>
          <w:sz w:val="24"/>
          <w:szCs w:val="24"/>
        </w:rPr>
        <w:t xml:space="preserve"> городского</w:t>
      </w:r>
      <w:r>
        <w:rPr>
          <w:sz w:val="24"/>
          <w:szCs w:val="24"/>
        </w:rPr>
        <w:t xml:space="preserve"> округа</w:t>
      </w:r>
      <w:r w:rsidRPr="002B0189">
        <w:rPr>
          <w:sz w:val="24"/>
          <w:szCs w:val="24"/>
        </w:rPr>
        <w:t xml:space="preserve"> по итогам 1 полугодия 201</w:t>
      </w:r>
      <w:r>
        <w:rPr>
          <w:sz w:val="24"/>
          <w:szCs w:val="24"/>
        </w:rPr>
        <w:t>7</w:t>
      </w:r>
      <w:r w:rsidRPr="002B0189">
        <w:rPr>
          <w:sz w:val="24"/>
          <w:szCs w:val="24"/>
        </w:rPr>
        <w:t xml:space="preserve"> года характеризу</w:t>
      </w:r>
      <w:r>
        <w:rPr>
          <w:sz w:val="24"/>
          <w:szCs w:val="24"/>
        </w:rPr>
        <w:t>е</w:t>
      </w:r>
      <w:r w:rsidRPr="002B0189">
        <w:rPr>
          <w:sz w:val="24"/>
          <w:szCs w:val="24"/>
        </w:rPr>
        <w:t>тся</w:t>
      </w:r>
      <w:r>
        <w:rPr>
          <w:sz w:val="24"/>
          <w:szCs w:val="24"/>
        </w:rPr>
        <w:t xml:space="preserve"> переходом сальдированного финансового результата деятельности организаций, не относящихся к субъектам малого предпринимательства (далее по разделу – предприятия) в размере (</w:t>
      </w:r>
      <w:r>
        <w:rPr>
          <w:sz w:val="24"/>
          <w:szCs w:val="24"/>
        </w:rPr>
        <w:noBreakHyphen/>
        <w:t> 3737,9 млн. руб.) из отрицательной зоны в соответствующем периоде прошлого года, в положительную - в размере 5 887,1 млн. руб. Основным фактором, оказавшим влияние</w:t>
      </w:r>
      <w:r w:rsidRPr="005A539F">
        <w:rPr>
          <w:sz w:val="24"/>
          <w:szCs w:val="24"/>
        </w:rPr>
        <w:t xml:space="preserve"> на смену </w:t>
      </w:r>
      <w:r w:rsidRPr="0074567B">
        <w:rPr>
          <w:sz w:val="24"/>
          <w:szCs w:val="24"/>
        </w:rPr>
        <w:t>тренда,</w:t>
      </w:r>
      <w:r>
        <w:rPr>
          <w:sz w:val="24"/>
          <w:szCs w:val="24"/>
        </w:rPr>
        <w:t xml:space="preserve"> явилось сокращение в 2 раза убытка до налогообложения (по РСБУ) (далее – убыток) градообразующего предприятия ПАО «АВТОВАЗ» (с 15 176 млн. руб. до 7 283 млн. руб.)</w:t>
      </w:r>
      <w:r>
        <w:rPr>
          <w:rStyle w:val="affc"/>
          <w:sz w:val="24"/>
          <w:szCs w:val="24"/>
        </w:rPr>
        <w:footnoteReference w:id="3"/>
      </w:r>
      <w:r>
        <w:rPr>
          <w:sz w:val="24"/>
          <w:szCs w:val="24"/>
        </w:rPr>
        <w:t>.</w:t>
      </w:r>
    </w:p>
    <w:p w:rsidR="005A227E" w:rsidRDefault="005A227E" w:rsidP="005A227E">
      <w:pPr>
        <w:pStyle w:val="aff1"/>
        <w:spacing w:line="276" w:lineRule="auto"/>
        <w:rPr>
          <w:sz w:val="24"/>
          <w:szCs w:val="24"/>
        </w:rPr>
      </w:pPr>
      <w:r w:rsidRPr="002B0189">
        <w:rPr>
          <w:sz w:val="24"/>
          <w:szCs w:val="24"/>
        </w:rPr>
        <w:t>По сравнению с январ</w:t>
      </w:r>
      <w:r>
        <w:rPr>
          <w:sz w:val="24"/>
          <w:szCs w:val="24"/>
        </w:rPr>
        <w:t>е</w:t>
      </w:r>
      <w:r w:rsidRPr="002B0189">
        <w:rPr>
          <w:sz w:val="24"/>
          <w:szCs w:val="24"/>
        </w:rPr>
        <w:t xml:space="preserve">м - июнем прошлого года </w:t>
      </w:r>
      <w:r>
        <w:rPr>
          <w:sz w:val="24"/>
          <w:szCs w:val="24"/>
        </w:rPr>
        <w:t>число</w:t>
      </w:r>
      <w:r w:rsidRPr="002B0189">
        <w:rPr>
          <w:sz w:val="24"/>
          <w:szCs w:val="24"/>
        </w:rPr>
        <w:t xml:space="preserve"> прибыльных предприятий</w:t>
      </w:r>
      <w:r>
        <w:rPr>
          <w:sz w:val="24"/>
          <w:szCs w:val="24"/>
        </w:rPr>
        <w:t xml:space="preserve"> (154 ед.)</w:t>
      </w:r>
      <w:r w:rsidRPr="002B0189">
        <w:rPr>
          <w:sz w:val="24"/>
          <w:szCs w:val="24"/>
        </w:rPr>
        <w:t xml:space="preserve"> </w:t>
      </w:r>
      <w:r>
        <w:rPr>
          <w:sz w:val="24"/>
          <w:szCs w:val="24"/>
        </w:rPr>
        <w:t>снизилось</w:t>
      </w:r>
      <w:r w:rsidRPr="002B0189">
        <w:rPr>
          <w:sz w:val="24"/>
          <w:szCs w:val="24"/>
        </w:rPr>
        <w:t xml:space="preserve"> на </w:t>
      </w:r>
      <w:r>
        <w:rPr>
          <w:sz w:val="24"/>
          <w:szCs w:val="24"/>
        </w:rPr>
        <w:t>4,9</w:t>
      </w:r>
      <w:r w:rsidRPr="002B0189">
        <w:rPr>
          <w:sz w:val="24"/>
          <w:szCs w:val="24"/>
        </w:rPr>
        <w:t> %</w:t>
      </w:r>
      <w:r>
        <w:rPr>
          <w:sz w:val="24"/>
          <w:szCs w:val="24"/>
        </w:rPr>
        <w:t>, объем</w:t>
      </w:r>
      <w:r w:rsidRPr="002B0189">
        <w:rPr>
          <w:sz w:val="24"/>
          <w:szCs w:val="24"/>
        </w:rPr>
        <w:t xml:space="preserve"> прибыли</w:t>
      </w:r>
      <w:r>
        <w:rPr>
          <w:sz w:val="24"/>
          <w:szCs w:val="24"/>
        </w:rPr>
        <w:t xml:space="preserve"> до налогообложения (по РСБУ) (далее – прибыль) увеличился на 14,3</w:t>
      </w:r>
      <w:r w:rsidRPr="002B0189">
        <w:rPr>
          <w:sz w:val="24"/>
          <w:szCs w:val="24"/>
        </w:rPr>
        <w:t xml:space="preserve"> % </w:t>
      </w:r>
      <w:r>
        <w:rPr>
          <w:sz w:val="24"/>
          <w:szCs w:val="24"/>
        </w:rPr>
        <w:t>до 14 796,8 млн. руб.</w:t>
      </w:r>
      <w:r w:rsidRPr="002B0189">
        <w:rPr>
          <w:sz w:val="24"/>
          <w:szCs w:val="24"/>
        </w:rPr>
        <w:t xml:space="preserve"> </w:t>
      </w:r>
      <w:r>
        <w:rPr>
          <w:sz w:val="24"/>
          <w:szCs w:val="24"/>
        </w:rPr>
        <w:t>Число</w:t>
      </w:r>
      <w:r w:rsidRPr="002B0189">
        <w:rPr>
          <w:sz w:val="24"/>
          <w:szCs w:val="24"/>
        </w:rPr>
        <w:t xml:space="preserve"> убыточных предприятий</w:t>
      </w:r>
      <w:r>
        <w:rPr>
          <w:sz w:val="24"/>
          <w:szCs w:val="24"/>
        </w:rPr>
        <w:t xml:space="preserve"> (68 ед.) сократилось на 11,7</w:t>
      </w:r>
      <w:r w:rsidRPr="002B0189">
        <w:rPr>
          <w:sz w:val="24"/>
          <w:szCs w:val="24"/>
        </w:rPr>
        <w:t xml:space="preserve"> %</w:t>
      </w:r>
      <w:r>
        <w:rPr>
          <w:sz w:val="24"/>
          <w:szCs w:val="24"/>
        </w:rPr>
        <w:t>, объем убытка – на 48,5 % до 8 909,7 млн. руб.</w:t>
      </w:r>
    </w:p>
    <w:p w:rsidR="005A227E" w:rsidRDefault="005A227E" w:rsidP="005A227E">
      <w:pPr>
        <w:pStyle w:val="aff1"/>
        <w:spacing w:line="276" w:lineRule="auto"/>
        <w:rPr>
          <w:sz w:val="24"/>
          <w:szCs w:val="24"/>
        </w:rPr>
      </w:pPr>
      <w:r>
        <w:rPr>
          <w:sz w:val="24"/>
          <w:szCs w:val="24"/>
        </w:rPr>
        <w:t xml:space="preserve">Доля прибыли </w:t>
      </w:r>
      <w:r w:rsidR="0010177F">
        <w:rPr>
          <w:sz w:val="24"/>
          <w:szCs w:val="24"/>
        </w:rPr>
        <w:t>химических предприятий</w:t>
      </w:r>
      <w:r>
        <w:rPr>
          <w:sz w:val="24"/>
          <w:szCs w:val="24"/>
        </w:rPr>
        <w:t xml:space="preserve"> в общем объеме прибыли (58,4 %) снизилась относительно 1 полугодия 2016 года на 7,4 п.п., е</w:t>
      </w:r>
      <w:r w:rsidR="0010177F">
        <w:rPr>
          <w:sz w:val="24"/>
          <w:szCs w:val="24"/>
        </w:rPr>
        <w:t>е</w:t>
      </w:r>
      <w:r>
        <w:rPr>
          <w:sz w:val="24"/>
          <w:szCs w:val="24"/>
        </w:rPr>
        <w:t xml:space="preserve"> объем (8 641,7 млн. руб.) вырос к сравниваемому периоду на 1,4 %. </w:t>
      </w:r>
    </w:p>
    <w:p w:rsidR="005A227E" w:rsidRDefault="005A227E" w:rsidP="005A227E">
      <w:pPr>
        <w:pStyle w:val="aff1"/>
        <w:spacing w:line="276" w:lineRule="auto"/>
        <w:rPr>
          <w:sz w:val="24"/>
          <w:szCs w:val="24"/>
        </w:rPr>
      </w:pPr>
      <w:r>
        <w:rPr>
          <w:sz w:val="24"/>
          <w:szCs w:val="24"/>
        </w:rPr>
        <w:t>Прибыль ПАО «Куйбышевазот» сократилась на 13,4 % до 3 359,1 млн. руб.</w:t>
      </w:r>
      <w:r>
        <w:rPr>
          <w:rStyle w:val="affc"/>
          <w:sz w:val="24"/>
          <w:szCs w:val="24"/>
        </w:rPr>
        <w:footnoteReference w:id="4"/>
      </w:r>
      <w:r>
        <w:rPr>
          <w:sz w:val="24"/>
          <w:szCs w:val="24"/>
        </w:rPr>
        <w:t>, у ПАО «Тольяттиазот» прибыль выросла на 10,8 % до 4 203,8 млн. руб.</w:t>
      </w:r>
      <w:r>
        <w:rPr>
          <w:rStyle w:val="affc"/>
          <w:sz w:val="24"/>
          <w:szCs w:val="24"/>
        </w:rPr>
        <w:footnoteReference w:id="5"/>
      </w:r>
      <w:r>
        <w:rPr>
          <w:sz w:val="24"/>
          <w:szCs w:val="24"/>
        </w:rPr>
        <w:t xml:space="preserve"> Наибольший прирост прибыли отмечен в торговле оптовой и розничной (на 913,5 млн. руб.), в производстве автотранспортных средств, прицепов и полуприцепов (на 602,7 млн. руб.). </w:t>
      </w:r>
    </w:p>
    <w:p w:rsidR="005A227E" w:rsidRDefault="005A227E" w:rsidP="005A227E">
      <w:pPr>
        <w:pStyle w:val="aff1"/>
        <w:spacing w:line="276" w:lineRule="auto"/>
        <w:rPr>
          <w:sz w:val="24"/>
          <w:szCs w:val="24"/>
        </w:rPr>
      </w:pPr>
      <w:r w:rsidRPr="002B0189">
        <w:rPr>
          <w:sz w:val="24"/>
          <w:szCs w:val="24"/>
        </w:rPr>
        <w:t>Наибольш</w:t>
      </w:r>
      <w:r>
        <w:rPr>
          <w:sz w:val="24"/>
          <w:szCs w:val="24"/>
        </w:rPr>
        <w:t xml:space="preserve">ая доля убытка (84,1 %) </w:t>
      </w:r>
      <w:r w:rsidRPr="002B0189">
        <w:rPr>
          <w:sz w:val="24"/>
          <w:szCs w:val="24"/>
        </w:rPr>
        <w:t>получен</w:t>
      </w:r>
      <w:r>
        <w:rPr>
          <w:sz w:val="24"/>
          <w:szCs w:val="24"/>
        </w:rPr>
        <w:t>а</w:t>
      </w:r>
      <w:r w:rsidRPr="002B0189">
        <w:rPr>
          <w:sz w:val="24"/>
          <w:szCs w:val="24"/>
        </w:rPr>
        <w:t xml:space="preserve"> в производстве </w:t>
      </w:r>
      <w:r>
        <w:rPr>
          <w:sz w:val="24"/>
          <w:szCs w:val="24"/>
        </w:rPr>
        <w:t>автотранспортных средств, прицепов и полуприцепов; его объем</w:t>
      </w:r>
      <w:r w:rsidRPr="002B0189">
        <w:rPr>
          <w:sz w:val="24"/>
          <w:szCs w:val="24"/>
        </w:rPr>
        <w:t xml:space="preserve"> (</w:t>
      </w:r>
      <w:r>
        <w:rPr>
          <w:sz w:val="24"/>
          <w:szCs w:val="24"/>
        </w:rPr>
        <w:t>7 492,8</w:t>
      </w:r>
      <w:r w:rsidRPr="002B0189">
        <w:rPr>
          <w:sz w:val="24"/>
          <w:szCs w:val="24"/>
        </w:rPr>
        <w:t> млн. руб.</w:t>
      </w:r>
      <w:r>
        <w:rPr>
          <w:sz w:val="24"/>
          <w:szCs w:val="24"/>
        </w:rPr>
        <w:t>) относительно прошлого года снизился на 52,3 % под влиянием размера убытка ПАО «АВТОВАЗ», указанного выше.</w:t>
      </w:r>
    </w:p>
    <w:p w:rsidR="005A227E" w:rsidRDefault="005A227E" w:rsidP="005A227E">
      <w:pPr>
        <w:pStyle w:val="aff0"/>
        <w:spacing w:line="276" w:lineRule="auto"/>
        <w:ind w:firstLine="708"/>
        <w:jc w:val="both"/>
        <w:rPr>
          <w:sz w:val="24"/>
          <w:szCs w:val="24"/>
        </w:rPr>
      </w:pPr>
      <w:r>
        <w:rPr>
          <w:sz w:val="24"/>
          <w:szCs w:val="24"/>
        </w:rPr>
        <w:t>Д</w:t>
      </w:r>
      <w:r w:rsidRPr="002A65CC">
        <w:rPr>
          <w:sz w:val="24"/>
          <w:szCs w:val="24"/>
        </w:rPr>
        <w:t xml:space="preserve">оля </w:t>
      </w:r>
      <w:r>
        <w:rPr>
          <w:sz w:val="24"/>
          <w:szCs w:val="24"/>
        </w:rPr>
        <w:t xml:space="preserve">налоговых </w:t>
      </w:r>
      <w:r w:rsidRPr="002A65CC">
        <w:rPr>
          <w:sz w:val="24"/>
          <w:szCs w:val="24"/>
        </w:rPr>
        <w:t>доходов</w:t>
      </w:r>
      <w:r w:rsidRPr="00D83028">
        <w:rPr>
          <w:sz w:val="24"/>
          <w:szCs w:val="24"/>
        </w:rPr>
        <w:t xml:space="preserve"> </w:t>
      </w:r>
      <w:r w:rsidRPr="002A65CC">
        <w:rPr>
          <w:sz w:val="24"/>
          <w:szCs w:val="24"/>
        </w:rPr>
        <w:t xml:space="preserve">с территории городского округа в налоговых доходах Самарской области составила </w:t>
      </w:r>
      <w:r>
        <w:rPr>
          <w:sz w:val="24"/>
          <w:szCs w:val="24"/>
        </w:rPr>
        <w:t>7,8 % (- 6,9</w:t>
      </w:r>
      <w:r w:rsidRPr="002A65CC">
        <w:rPr>
          <w:sz w:val="24"/>
          <w:szCs w:val="24"/>
        </w:rPr>
        <w:t> </w:t>
      </w:r>
      <w:r>
        <w:rPr>
          <w:sz w:val="24"/>
          <w:szCs w:val="24"/>
        </w:rPr>
        <w:t>п.п. за счет роста на 56 % в январе-июне 2017 года поступлений с территории Самарской области налога на добычу полезных ископаемых (нефти))</w:t>
      </w:r>
      <w:r w:rsidRPr="002A65CC">
        <w:rPr>
          <w:sz w:val="24"/>
          <w:szCs w:val="24"/>
        </w:rPr>
        <w:t xml:space="preserve">, в налоговых доходах Приволжского Федерального округа – </w:t>
      </w:r>
      <w:r>
        <w:rPr>
          <w:sz w:val="24"/>
          <w:szCs w:val="24"/>
        </w:rPr>
        <w:t>1,2 % (</w:t>
      </w:r>
      <w:r>
        <w:rPr>
          <w:sz w:val="24"/>
          <w:szCs w:val="24"/>
        </w:rPr>
        <w:noBreakHyphen/>
        <w:t> 0,9 п.п.)</w:t>
      </w:r>
      <w:r w:rsidRPr="002A65CC">
        <w:rPr>
          <w:sz w:val="24"/>
          <w:szCs w:val="24"/>
        </w:rPr>
        <w:t xml:space="preserve"> в налоговых доходах Российской Федерации – 0,</w:t>
      </w:r>
      <w:r>
        <w:rPr>
          <w:sz w:val="24"/>
          <w:szCs w:val="24"/>
        </w:rPr>
        <w:t>2</w:t>
      </w:r>
      <w:r w:rsidRPr="002A65CC">
        <w:rPr>
          <w:sz w:val="24"/>
          <w:szCs w:val="24"/>
        </w:rPr>
        <w:t xml:space="preserve"> % </w:t>
      </w:r>
      <w:r>
        <w:rPr>
          <w:sz w:val="24"/>
          <w:szCs w:val="24"/>
        </w:rPr>
        <w:t>(- 0,1 п.п.).</w:t>
      </w:r>
      <w:r>
        <w:rPr>
          <w:rStyle w:val="affc"/>
          <w:sz w:val="24"/>
          <w:szCs w:val="24"/>
        </w:rPr>
        <w:footnoteReference w:id="6"/>
      </w:r>
      <w:r>
        <w:rPr>
          <w:sz w:val="24"/>
          <w:szCs w:val="24"/>
        </w:rPr>
        <w:t xml:space="preserve"> </w:t>
      </w:r>
    </w:p>
    <w:p w:rsidR="005A227E" w:rsidRPr="002B0189" w:rsidRDefault="005A227E" w:rsidP="005A227E">
      <w:pPr>
        <w:pStyle w:val="73"/>
        <w:spacing w:line="276" w:lineRule="auto"/>
        <w:ind w:firstLine="720"/>
        <w:jc w:val="both"/>
        <w:rPr>
          <w:b w:val="0"/>
          <w:bCs w:val="0"/>
          <w:szCs w:val="24"/>
        </w:rPr>
      </w:pPr>
      <w:r w:rsidRPr="002B0189">
        <w:rPr>
          <w:b w:val="0"/>
          <w:bCs w:val="0"/>
          <w:szCs w:val="24"/>
        </w:rPr>
        <w:t>По информации Управления Федеральной налоговой службы России по Самарской области</w:t>
      </w:r>
      <w:r>
        <w:rPr>
          <w:b w:val="0"/>
          <w:bCs w:val="0"/>
          <w:szCs w:val="24"/>
        </w:rPr>
        <w:t xml:space="preserve"> по форме № 1-НМ</w:t>
      </w:r>
      <w:r w:rsidRPr="002B0189">
        <w:rPr>
          <w:b w:val="0"/>
          <w:bCs w:val="0"/>
          <w:szCs w:val="24"/>
        </w:rPr>
        <w:t xml:space="preserve"> по состоянию на 01.07.201</w:t>
      </w:r>
      <w:r>
        <w:rPr>
          <w:b w:val="0"/>
          <w:bCs w:val="0"/>
          <w:szCs w:val="24"/>
        </w:rPr>
        <w:t>7</w:t>
      </w:r>
      <w:r w:rsidRPr="002B0189">
        <w:rPr>
          <w:b w:val="0"/>
          <w:bCs w:val="0"/>
          <w:szCs w:val="24"/>
        </w:rPr>
        <w:t xml:space="preserve"> с территории городского округа в бюджетную систему Российской Федерации поступило налоговых доходов </w:t>
      </w:r>
      <w:r>
        <w:rPr>
          <w:b w:val="0"/>
          <w:bCs w:val="0"/>
          <w:szCs w:val="24"/>
        </w:rPr>
        <w:t xml:space="preserve">на сумму 14 679,5 </w:t>
      </w:r>
      <w:r w:rsidRPr="002B0189">
        <w:rPr>
          <w:b w:val="0"/>
          <w:bCs w:val="0"/>
          <w:szCs w:val="24"/>
        </w:rPr>
        <w:t>млн. руб.</w:t>
      </w:r>
      <w:r>
        <w:rPr>
          <w:b w:val="0"/>
          <w:bCs w:val="0"/>
          <w:szCs w:val="24"/>
        </w:rPr>
        <w:t xml:space="preserve"> (+ 3,6 % к уровню прошлого года)</w:t>
      </w:r>
      <w:r w:rsidRPr="002B0189">
        <w:rPr>
          <w:b w:val="0"/>
          <w:bCs w:val="0"/>
          <w:szCs w:val="24"/>
        </w:rPr>
        <w:t>.</w:t>
      </w:r>
    </w:p>
    <w:p w:rsidR="005A227E" w:rsidRDefault="005A227E" w:rsidP="005A227E">
      <w:pPr>
        <w:pStyle w:val="aff0"/>
        <w:spacing w:line="276" w:lineRule="auto"/>
        <w:ind w:firstLine="708"/>
        <w:jc w:val="both"/>
        <w:rPr>
          <w:sz w:val="24"/>
          <w:szCs w:val="24"/>
        </w:rPr>
      </w:pPr>
      <w:r w:rsidRPr="00DD3558">
        <w:rPr>
          <w:sz w:val="24"/>
          <w:szCs w:val="24"/>
        </w:rPr>
        <w:t xml:space="preserve">На </w:t>
      </w:r>
      <w:r>
        <w:rPr>
          <w:sz w:val="24"/>
          <w:szCs w:val="24"/>
        </w:rPr>
        <w:t>01</w:t>
      </w:r>
      <w:r w:rsidRPr="00DD3558">
        <w:rPr>
          <w:sz w:val="24"/>
          <w:szCs w:val="24"/>
        </w:rPr>
        <w:t xml:space="preserve">.07.2017 </w:t>
      </w:r>
      <w:r>
        <w:rPr>
          <w:sz w:val="24"/>
          <w:szCs w:val="24"/>
        </w:rPr>
        <w:t>от организаций городского округа поступления налога на прибыль составили 3 819,6 млн. руб., что на 5,5 % меньше, чем в 1 полугодии 2016 года (</w:t>
      </w:r>
      <w:r w:rsidRPr="00541BAB">
        <w:rPr>
          <w:sz w:val="24"/>
          <w:szCs w:val="24"/>
        </w:rPr>
        <w:t xml:space="preserve">в </w:t>
      </w:r>
      <w:r w:rsidR="0029758C">
        <w:rPr>
          <w:sz w:val="24"/>
          <w:szCs w:val="24"/>
        </w:rPr>
        <w:t>разделе</w:t>
      </w:r>
      <w:r w:rsidRPr="00541BAB">
        <w:rPr>
          <w:sz w:val="24"/>
          <w:szCs w:val="24"/>
        </w:rPr>
        <w:t xml:space="preserve"> «Финансы (сводный финансовый баланс)</w:t>
      </w:r>
      <w:r>
        <w:rPr>
          <w:sz w:val="24"/>
          <w:szCs w:val="24"/>
        </w:rPr>
        <w:t>»</w:t>
      </w:r>
      <w:r w:rsidR="0029758C">
        <w:rPr>
          <w:sz w:val="24"/>
          <w:szCs w:val="24"/>
        </w:rPr>
        <w:t xml:space="preserve"> Прогноза</w:t>
      </w:r>
      <w:r>
        <w:rPr>
          <w:sz w:val="24"/>
          <w:szCs w:val="24"/>
        </w:rPr>
        <w:t>, далее – СФБ)</w:t>
      </w:r>
      <w:r w:rsidRPr="00541BAB">
        <w:rPr>
          <w:sz w:val="24"/>
          <w:szCs w:val="24"/>
        </w:rPr>
        <w:t xml:space="preserve"> </w:t>
      </w:r>
      <w:r>
        <w:rPr>
          <w:sz w:val="24"/>
          <w:szCs w:val="24"/>
        </w:rPr>
        <w:t xml:space="preserve">налог на прибыль организаций </w:t>
      </w:r>
      <w:r w:rsidRPr="00541BAB">
        <w:rPr>
          <w:sz w:val="24"/>
          <w:szCs w:val="24"/>
        </w:rPr>
        <w:t>в составе</w:t>
      </w:r>
      <w:r>
        <w:rPr>
          <w:sz w:val="24"/>
          <w:szCs w:val="24"/>
        </w:rPr>
        <w:t xml:space="preserve"> налоговых доходов не отражается, так как учитывается в показателе «Прибыль прибыльных организаций» (до налогообложения по РСБУ)).</w:t>
      </w:r>
    </w:p>
    <w:p w:rsidR="005A227E" w:rsidRDefault="005A227E" w:rsidP="005A227E">
      <w:pPr>
        <w:pStyle w:val="aff0"/>
        <w:spacing w:line="276" w:lineRule="auto"/>
        <w:ind w:firstLine="708"/>
        <w:jc w:val="both"/>
        <w:rPr>
          <w:sz w:val="24"/>
          <w:szCs w:val="24"/>
        </w:rPr>
      </w:pPr>
      <w:r>
        <w:rPr>
          <w:sz w:val="24"/>
          <w:szCs w:val="24"/>
        </w:rPr>
        <w:t>Налоговые доходы СФБ, за исключением налога на прибыль организаций, на 01.07.2017 составили 10920,5 млн. руб., что на 8,0 % больше, чем на соответствующую дату прошлого года, в том числе:</w:t>
      </w:r>
    </w:p>
    <w:p w:rsidR="005A227E" w:rsidRDefault="005A227E" w:rsidP="005A227E">
      <w:pPr>
        <w:pStyle w:val="aff0"/>
        <w:spacing w:line="276" w:lineRule="auto"/>
        <w:ind w:firstLine="708"/>
        <w:jc w:val="both"/>
        <w:rPr>
          <w:sz w:val="24"/>
          <w:szCs w:val="24"/>
        </w:rPr>
      </w:pPr>
      <w:r>
        <w:rPr>
          <w:sz w:val="24"/>
          <w:szCs w:val="24"/>
        </w:rPr>
        <w:t xml:space="preserve">- налог на добавленную стоимость (НДС) – 3 111,1 млн. руб., что на 45,8 % больше, чем в </w:t>
      </w:r>
      <w:r>
        <w:rPr>
          <w:sz w:val="24"/>
          <w:szCs w:val="24"/>
          <w:lang w:val="en-US"/>
        </w:rPr>
        <w:t>I</w:t>
      </w:r>
      <w:r>
        <w:rPr>
          <w:sz w:val="24"/>
          <w:szCs w:val="24"/>
        </w:rPr>
        <w:t xml:space="preserve"> полугодии 2016 года, в основном, за счет роста в 2,2 раза поступлений НДС от предприятий, осуществляющих производство автомобилей, прицепов, полуприцепов (по данным формы № 1-НОМ на 01.07.2017 по Самарской области); при этом выручка ПАО «АВТОВАЗ» увеличилась на 16,6 %);</w:t>
      </w:r>
    </w:p>
    <w:p w:rsidR="005A227E" w:rsidRDefault="005A227E" w:rsidP="005A227E">
      <w:pPr>
        <w:pStyle w:val="aff0"/>
        <w:spacing w:line="276" w:lineRule="auto"/>
        <w:ind w:firstLine="708"/>
        <w:jc w:val="both"/>
        <w:rPr>
          <w:sz w:val="24"/>
          <w:szCs w:val="24"/>
        </w:rPr>
      </w:pPr>
      <w:r>
        <w:rPr>
          <w:sz w:val="24"/>
          <w:szCs w:val="24"/>
        </w:rPr>
        <w:t xml:space="preserve">- налог на доходы физических лиц НДФЛ – 4 828,5 млн. руб. (из них в бюджет городского округа – 1439,3 млн. руб.), что на 5,0 % меньше, чем за январь-июнь прошлого года, в том числе: в бюджет городского округа зачислено НДФЛ на 73,6 млн. руб. меньше, чем в 1 полугодии 2016 года, в основном, за счет </w:t>
      </w:r>
      <w:r w:rsidRPr="00436CA3">
        <w:rPr>
          <w:sz w:val="24"/>
          <w:szCs w:val="24"/>
        </w:rPr>
        <w:t xml:space="preserve">отсутствия в 2017 году поступлений НДФЛ в сумме, поступившей в июне 2016 года от выплаты вознаграждения членам Совета директоров акционерного общества, относящегося к </w:t>
      </w:r>
      <w:r>
        <w:rPr>
          <w:sz w:val="24"/>
          <w:szCs w:val="24"/>
        </w:rPr>
        <w:t>химической отрасли;</w:t>
      </w:r>
    </w:p>
    <w:p w:rsidR="005A227E" w:rsidRPr="009038C4" w:rsidRDefault="005A227E" w:rsidP="005A227E">
      <w:pPr>
        <w:pStyle w:val="aff0"/>
        <w:spacing w:line="276" w:lineRule="auto"/>
        <w:ind w:firstLine="708"/>
        <w:jc w:val="both"/>
        <w:rPr>
          <w:sz w:val="24"/>
          <w:szCs w:val="24"/>
        </w:rPr>
      </w:pPr>
      <w:r>
        <w:rPr>
          <w:sz w:val="24"/>
          <w:szCs w:val="24"/>
        </w:rPr>
        <w:t xml:space="preserve">- </w:t>
      </w:r>
      <w:r w:rsidRPr="00436CA3">
        <w:rPr>
          <w:sz w:val="24"/>
          <w:szCs w:val="24"/>
        </w:rPr>
        <w:t xml:space="preserve"> </w:t>
      </w:r>
      <w:r>
        <w:rPr>
          <w:sz w:val="24"/>
          <w:szCs w:val="24"/>
        </w:rPr>
        <w:t xml:space="preserve">акцизы – 213,3 млн. руб. (-37,6 % за счет роста на 184,7 млн. руб. объемов возмещения из бюджета акцизов на бензол, параксилол, </w:t>
      </w:r>
      <w:r w:rsidRPr="009038C4">
        <w:rPr>
          <w:sz w:val="24"/>
          <w:szCs w:val="24"/>
        </w:rPr>
        <w:t>ортоксилол</w:t>
      </w:r>
      <w:r>
        <w:rPr>
          <w:sz w:val="24"/>
          <w:szCs w:val="24"/>
        </w:rPr>
        <w:t xml:space="preserve"> и средние дестилляты, использованные в качестве сырья в химическом производстве; при этом выросли поступления акцизов на легковые автомобили (+ 4,0 млн. руб.), на алкогольную продукцию (+51,1 млн. руб.); на бензин (+ 2,5 млн. руб.); </w:t>
      </w:r>
    </w:p>
    <w:p w:rsidR="005A227E" w:rsidRDefault="005A227E" w:rsidP="005A227E">
      <w:pPr>
        <w:pStyle w:val="aff0"/>
        <w:spacing w:line="276" w:lineRule="auto"/>
        <w:ind w:firstLine="708"/>
        <w:jc w:val="both"/>
        <w:rPr>
          <w:sz w:val="24"/>
          <w:szCs w:val="24"/>
        </w:rPr>
      </w:pPr>
      <w:r>
        <w:rPr>
          <w:sz w:val="24"/>
          <w:szCs w:val="24"/>
        </w:rPr>
        <w:t>- налоги на совокупный доход – 731,1 млн. руб., что на 14,3 % выше уровня января-июня 2016 года), в основном, за счет роста на 18,0 % поступлений налогов, уплачиваемых по упрощенной системе налогообложения; в бюджет городского округа поступило налогов на совокупный доход (ЕНВД, единый сельхозналог и налог, взимаемый с применением патентной системы налогообложения) в сумме 171,5 млн. руб. (+ 3,8 % к уровню сравниваемого периода);</w:t>
      </w:r>
    </w:p>
    <w:p w:rsidR="005A227E" w:rsidRDefault="005A227E" w:rsidP="005A227E">
      <w:pPr>
        <w:pStyle w:val="aff0"/>
        <w:spacing w:line="276" w:lineRule="auto"/>
        <w:ind w:firstLine="708"/>
        <w:jc w:val="both"/>
        <w:rPr>
          <w:sz w:val="24"/>
          <w:szCs w:val="24"/>
        </w:rPr>
      </w:pPr>
      <w:r>
        <w:rPr>
          <w:sz w:val="24"/>
          <w:szCs w:val="24"/>
        </w:rPr>
        <w:t xml:space="preserve">- налоги на имущество – 1906,8 млн. руб., что на 7,0 % больше, чем в 1 полугодии прошлого года, в основном, за счет роста на 8,7 % поступления налога на имущества организаций; в бюджет городского округа поступило налогов на имущество на сумму 466,0 млн. руб. (- 1,2 %), в основном, за счет </w:t>
      </w:r>
      <w:r w:rsidRPr="002E7D6B">
        <w:rPr>
          <w:sz w:val="24"/>
          <w:szCs w:val="24"/>
        </w:rPr>
        <w:t>за счет уменьшения кадастровой стоимости земельных участков при оспаривании налогоплательщиками</w:t>
      </w:r>
      <w:r>
        <w:rPr>
          <w:sz w:val="24"/>
          <w:szCs w:val="24"/>
        </w:rPr>
        <w:t xml:space="preserve"> результатов кадастровой оценки; </w:t>
      </w:r>
      <w:r w:rsidRPr="002E7D6B">
        <w:rPr>
          <w:sz w:val="24"/>
          <w:szCs w:val="24"/>
        </w:rPr>
        <w:t>в погашение задолженности, образовавшейся в связи с неуплатой налога на имущество физических лиц  за 2015 год по сроку уплаты 1 декабря 2016 года</w:t>
      </w:r>
      <w:r>
        <w:rPr>
          <w:sz w:val="24"/>
          <w:szCs w:val="24"/>
        </w:rPr>
        <w:t xml:space="preserve">, поступило </w:t>
      </w:r>
      <w:r w:rsidRPr="002E7D6B">
        <w:rPr>
          <w:sz w:val="24"/>
          <w:szCs w:val="24"/>
        </w:rPr>
        <w:t>40 732 тыс. руб.</w:t>
      </w:r>
      <w:r>
        <w:rPr>
          <w:sz w:val="24"/>
          <w:szCs w:val="24"/>
        </w:rPr>
        <w:t xml:space="preserve"> (94,8 %);</w:t>
      </w:r>
    </w:p>
    <w:p w:rsidR="005A227E" w:rsidRDefault="005A227E" w:rsidP="005A227E">
      <w:pPr>
        <w:pStyle w:val="aff0"/>
        <w:spacing w:line="276" w:lineRule="auto"/>
        <w:ind w:firstLine="708"/>
        <w:jc w:val="both"/>
        <w:rPr>
          <w:sz w:val="24"/>
          <w:szCs w:val="24"/>
        </w:rPr>
      </w:pPr>
      <w:r>
        <w:rPr>
          <w:sz w:val="24"/>
          <w:szCs w:val="24"/>
        </w:rPr>
        <w:t>- налоги, сборы и регулярные платежи за пользование природными ресурсами – 6,3 млн. руб. (- 4,8 %);</w:t>
      </w:r>
    </w:p>
    <w:p w:rsidR="005A227E" w:rsidRDefault="005A227E" w:rsidP="005A227E">
      <w:pPr>
        <w:pStyle w:val="aff0"/>
        <w:spacing w:line="276" w:lineRule="auto"/>
        <w:ind w:firstLine="708"/>
        <w:jc w:val="both"/>
        <w:rPr>
          <w:sz w:val="24"/>
          <w:szCs w:val="24"/>
        </w:rPr>
      </w:pPr>
      <w:r>
        <w:rPr>
          <w:sz w:val="24"/>
          <w:szCs w:val="24"/>
        </w:rPr>
        <w:t>- прочие налоговые доходы СФБ – 123,5 млн. руб. (+1,9 %), из них поступило в местный бюджет: госпошлина и поступления по отмененным налогам и сборам – 88,8 млн. руб. (+15,5 %), д</w:t>
      </w:r>
      <w:r w:rsidRPr="009038C4">
        <w:rPr>
          <w:sz w:val="24"/>
          <w:szCs w:val="24"/>
        </w:rPr>
        <w:t>оход</w:t>
      </w:r>
      <w:r>
        <w:rPr>
          <w:sz w:val="24"/>
          <w:szCs w:val="24"/>
        </w:rPr>
        <w:t>ы</w:t>
      </w:r>
      <w:r w:rsidRPr="009038C4">
        <w:rPr>
          <w:sz w:val="24"/>
          <w:szCs w:val="24"/>
        </w:rPr>
        <w:t xml:space="preserve">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Pr>
          <w:sz w:val="24"/>
          <w:szCs w:val="24"/>
        </w:rPr>
        <w:t xml:space="preserve">- </w:t>
      </w:r>
      <w:r w:rsidRPr="009038C4">
        <w:rPr>
          <w:sz w:val="24"/>
          <w:szCs w:val="24"/>
        </w:rPr>
        <w:t>25,3</w:t>
      </w:r>
      <w:r>
        <w:rPr>
          <w:sz w:val="24"/>
          <w:szCs w:val="24"/>
        </w:rPr>
        <w:t> </w:t>
      </w:r>
      <w:r w:rsidRPr="009038C4">
        <w:rPr>
          <w:sz w:val="24"/>
          <w:szCs w:val="24"/>
        </w:rPr>
        <w:t>млн. руб.</w:t>
      </w:r>
      <w:r>
        <w:rPr>
          <w:sz w:val="24"/>
          <w:szCs w:val="24"/>
        </w:rPr>
        <w:t xml:space="preserve"> (- </w:t>
      </w:r>
      <w:r w:rsidRPr="009038C4">
        <w:rPr>
          <w:sz w:val="24"/>
          <w:szCs w:val="24"/>
        </w:rPr>
        <w:t>14,3%</w:t>
      </w:r>
      <w:r>
        <w:rPr>
          <w:sz w:val="24"/>
          <w:szCs w:val="24"/>
        </w:rPr>
        <w:t>).</w:t>
      </w:r>
    </w:p>
    <w:p w:rsidR="005A227E" w:rsidRDefault="005A227E" w:rsidP="005A227E">
      <w:pPr>
        <w:pStyle w:val="aff0"/>
        <w:spacing w:line="276" w:lineRule="auto"/>
        <w:ind w:firstLine="708"/>
        <w:jc w:val="both"/>
        <w:rPr>
          <w:sz w:val="24"/>
          <w:szCs w:val="24"/>
        </w:rPr>
      </w:pPr>
      <w:r>
        <w:rPr>
          <w:sz w:val="24"/>
          <w:szCs w:val="24"/>
        </w:rPr>
        <w:t>Таким образом, на 01.07.2017 из общего объема налоговых доходов с территории городского округа, администрируемых Федеральной налоговой службой (</w:t>
      </w:r>
      <w:r w:rsidRPr="002116C6">
        <w:rPr>
          <w:sz w:val="24"/>
          <w:szCs w:val="24"/>
        </w:rPr>
        <w:t>14 679,5 млн. руб.)</w:t>
      </w:r>
      <w:r>
        <w:rPr>
          <w:sz w:val="24"/>
          <w:szCs w:val="24"/>
        </w:rPr>
        <w:t>,</w:t>
      </w:r>
      <w:r>
        <w:rPr>
          <w:szCs w:val="24"/>
        </w:rPr>
        <w:t xml:space="preserve"> </w:t>
      </w:r>
      <w:r>
        <w:rPr>
          <w:sz w:val="24"/>
          <w:szCs w:val="24"/>
        </w:rPr>
        <w:t>в бюджет городского округа зачислено 2 128,9 млн. руб., что составляет 14,5 %.</w:t>
      </w:r>
    </w:p>
    <w:p w:rsidR="005A227E" w:rsidRDefault="005A227E" w:rsidP="005A227E">
      <w:pPr>
        <w:pStyle w:val="aff0"/>
        <w:spacing w:line="276" w:lineRule="auto"/>
        <w:ind w:firstLine="708"/>
        <w:jc w:val="both"/>
        <w:rPr>
          <w:sz w:val="24"/>
          <w:szCs w:val="24"/>
        </w:rPr>
      </w:pPr>
      <w:r>
        <w:rPr>
          <w:sz w:val="24"/>
          <w:szCs w:val="24"/>
        </w:rPr>
        <w:t xml:space="preserve">Неналоговые доходы СФБ – 609,4 тыс. руб. (- 5,5 %), из них поступили в бюджет городского округа – 584,6 млн. руб. (-3,0 %), в том числе: </w:t>
      </w:r>
    </w:p>
    <w:p w:rsidR="005A227E" w:rsidRDefault="005A227E" w:rsidP="005A227E">
      <w:pPr>
        <w:pStyle w:val="aff0"/>
        <w:spacing w:line="276" w:lineRule="auto"/>
        <w:ind w:firstLine="708"/>
        <w:jc w:val="both"/>
        <w:rPr>
          <w:sz w:val="24"/>
          <w:szCs w:val="24"/>
        </w:rPr>
      </w:pPr>
      <w:r>
        <w:rPr>
          <w:sz w:val="24"/>
          <w:szCs w:val="24"/>
        </w:rPr>
        <w:t xml:space="preserve">- доходы от использования имущества, находящегося </w:t>
      </w:r>
      <w:r w:rsidRPr="0001037D">
        <w:rPr>
          <w:sz w:val="24"/>
          <w:szCs w:val="24"/>
        </w:rPr>
        <w:t>в</w:t>
      </w:r>
      <w:r>
        <w:rPr>
          <w:sz w:val="24"/>
          <w:szCs w:val="24"/>
        </w:rPr>
        <w:t xml:space="preserve"> муниципальной собственности – </w:t>
      </w:r>
      <w:r w:rsidRPr="00624310">
        <w:rPr>
          <w:sz w:val="24"/>
          <w:szCs w:val="24"/>
        </w:rPr>
        <w:t>341,7 млн. руб. (+30,0 %),</w:t>
      </w:r>
      <w:r>
        <w:rPr>
          <w:sz w:val="24"/>
          <w:szCs w:val="24"/>
        </w:rPr>
        <w:t xml:space="preserve"> в основном, за счет роста на 52,1 млн. руб. </w:t>
      </w:r>
      <w:r w:rsidRPr="00181796">
        <w:rPr>
          <w:sz w:val="24"/>
          <w:szCs w:val="24"/>
        </w:rPr>
        <w:t xml:space="preserve">арендной платы по договорам аренды земельных участков, в результате применения </w:t>
      </w:r>
      <w:r w:rsidR="006B744C">
        <w:rPr>
          <w:sz w:val="24"/>
          <w:szCs w:val="24"/>
        </w:rPr>
        <w:t xml:space="preserve">повышающего </w:t>
      </w:r>
      <w:r w:rsidRPr="00181796">
        <w:rPr>
          <w:sz w:val="24"/>
          <w:szCs w:val="24"/>
        </w:rPr>
        <w:t>коэффициента, используемого при определении размера арендной платы за земельные участки</w:t>
      </w:r>
      <w:r>
        <w:rPr>
          <w:sz w:val="24"/>
          <w:szCs w:val="24"/>
        </w:rPr>
        <w:t xml:space="preserve"> </w:t>
      </w:r>
      <w:r w:rsidRPr="00181796">
        <w:rPr>
          <w:sz w:val="24"/>
          <w:szCs w:val="24"/>
        </w:rPr>
        <w:t>(</w:t>
      </w:r>
      <w:r>
        <w:rPr>
          <w:sz w:val="24"/>
          <w:szCs w:val="24"/>
        </w:rPr>
        <w:t>в</w:t>
      </w:r>
      <w:r w:rsidRPr="00181796">
        <w:rPr>
          <w:sz w:val="24"/>
          <w:szCs w:val="24"/>
        </w:rPr>
        <w:t xml:space="preserve"> 2016</w:t>
      </w:r>
      <w:r>
        <w:rPr>
          <w:sz w:val="24"/>
          <w:szCs w:val="24"/>
        </w:rPr>
        <w:t xml:space="preserve"> году</w:t>
      </w:r>
      <w:r w:rsidRPr="00181796">
        <w:rPr>
          <w:sz w:val="24"/>
          <w:szCs w:val="24"/>
        </w:rPr>
        <w:t xml:space="preserve"> -1,24, </w:t>
      </w:r>
      <w:r>
        <w:rPr>
          <w:sz w:val="24"/>
          <w:szCs w:val="24"/>
        </w:rPr>
        <w:t>в</w:t>
      </w:r>
      <w:r w:rsidRPr="00181796">
        <w:rPr>
          <w:sz w:val="24"/>
          <w:szCs w:val="24"/>
        </w:rPr>
        <w:t xml:space="preserve"> 2017</w:t>
      </w:r>
      <w:r>
        <w:rPr>
          <w:sz w:val="24"/>
          <w:szCs w:val="24"/>
        </w:rPr>
        <w:t xml:space="preserve"> году</w:t>
      </w:r>
      <w:r w:rsidRPr="00181796">
        <w:rPr>
          <w:sz w:val="24"/>
          <w:szCs w:val="24"/>
        </w:rPr>
        <w:t xml:space="preserve"> - 1,3</w:t>
      </w:r>
      <w:r>
        <w:rPr>
          <w:sz w:val="24"/>
          <w:szCs w:val="24"/>
        </w:rPr>
        <w:t>), а также роста на 25,3 млн. руб. арендной платы за земельные участки в связи с увеличением количества договорных отношений;</w:t>
      </w:r>
    </w:p>
    <w:p w:rsidR="005A227E" w:rsidRDefault="005A227E" w:rsidP="005A227E">
      <w:pPr>
        <w:pStyle w:val="aff0"/>
        <w:spacing w:line="276" w:lineRule="auto"/>
        <w:ind w:firstLine="708"/>
        <w:jc w:val="both"/>
        <w:rPr>
          <w:sz w:val="24"/>
          <w:szCs w:val="24"/>
        </w:rPr>
      </w:pPr>
      <w:r>
        <w:rPr>
          <w:sz w:val="24"/>
          <w:szCs w:val="24"/>
        </w:rPr>
        <w:t xml:space="preserve">- плата за негативное воздействие на окружающую среду – 16,5 млн. руб. (- 41,4 %) </w:t>
      </w:r>
      <w:r w:rsidRPr="002116C6">
        <w:rPr>
          <w:sz w:val="24"/>
          <w:szCs w:val="24"/>
        </w:rPr>
        <w:t>в связи с образованием у плательщиков переплаты на основании перерасчетов за 2016 год в связи с отменой коэффициентов, учитывающих экологические факторы в соответствии с действующим законодательством;</w:t>
      </w:r>
    </w:p>
    <w:p w:rsidR="005A227E" w:rsidRDefault="005A227E" w:rsidP="005A227E">
      <w:pPr>
        <w:pStyle w:val="aff0"/>
        <w:spacing w:line="276" w:lineRule="auto"/>
        <w:ind w:firstLine="708"/>
        <w:jc w:val="both"/>
        <w:rPr>
          <w:sz w:val="24"/>
          <w:szCs w:val="24"/>
        </w:rPr>
      </w:pPr>
      <w:r>
        <w:rPr>
          <w:sz w:val="24"/>
          <w:szCs w:val="24"/>
        </w:rPr>
        <w:t>-  д</w:t>
      </w:r>
      <w:r w:rsidRPr="00423AB4">
        <w:rPr>
          <w:sz w:val="24"/>
          <w:szCs w:val="24"/>
        </w:rPr>
        <w:t xml:space="preserve">оходы от оказания платных услуг (работ) </w:t>
      </w:r>
      <w:r>
        <w:rPr>
          <w:sz w:val="24"/>
          <w:szCs w:val="24"/>
        </w:rPr>
        <w:t>-</w:t>
      </w:r>
      <w:r w:rsidRPr="00423AB4">
        <w:rPr>
          <w:sz w:val="24"/>
          <w:szCs w:val="24"/>
        </w:rPr>
        <w:t xml:space="preserve"> 2</w:t>
      </w:r>
      <w:r>
        <w:rPr>
          <w:sz w:val="24"/>
          <w:szCs w:val="24"/>
        </w:rPr>
        <w:t>,2 млн</w:t>
      </w:r>
      <w:r w:rsidRPr="00423AB4">
        <w:rPr>
          <w:sz w:val="24"/>
          <w:szCs w:val="24"/>
        </w:rPr>
        <w:t>. руб.</w:t>
      </w:r>
      <w:r>
        <w:rPr>
          <w:sz w:val="24"/>
          <w:szCs w:val="24"/>
        </w:rPr>
        <w:t xml:space="preserve"> (рост </w:t>
      </w:r>
      <w:r w:rsidRPr="006C2CF0">
        <w:rPr>
          <w:sz w:val="24"/>
          <w:szCs w:val="24"/>
        </w:rPr>
        <w:t>в 3,</w:t>
      </w:r>
      <w:r w:rsidR="00E135D6" w:rsidRPr="006C2CF0">
        <w:rPr>
          <w:sz w:val="24"/>
          <w:szCs w:val="24"/>
        </w:rPr>
        <w:t>0</w:t>
      </w:r>
      <w:r w:rsidRPr="006C2CF0">
        <w:rPr>
          <w:sz w:val="24"/>
          <w:szCs w:val="24"/>
        </w:rPr>
        <w:t xml:space="preserve"> раза</w:t>
      </w:r>
      <w:r>
        <w:rPr>
          <w:sz w:val="24"/>
          <w:szCs w:val="24"/>
        </w:rPr>
        <w:t>);</w:t>
      </w:r>
    </w:p>
    <w:p w:rsidR="005A227E" w:rsidRDefault="005A227E" w:rsidP="005A227E">
      <w:pPr>
        <w:pStyle w:val="af1"/>
        <w:spacing w:line="300" w:lineRule="auto"/>
        <w:ind w:firstLine="720"/>
        <w:rPr>
          <w:szCs w:val="24"/>
        </w:rPr>
      </w:pPr>
      <w:r>
        <w:rPr>
          <w:szCs w:val="24"/>
        </w:rPr>
        <w:t>- доходы от продажи материальных и нематериальных активов - 50,8 млн. руб. (-6,8 %), ведется претензионная работа;</w:t>
      </w:r>
    </w:p>
    <w:p w:rsidR="005A227E" w:rsidRPr="00CD480A" w:rsidRDefault="005A227E" w:rsidP="005A227E">
      <w:pPr>
        <w:pStyle w:val="af1"/>
        <w:spacing w:line="300" w:lineRule="auto"/>
        <w:ind w:firstLine="720"/>
        <w:rPr>
          <w:szCs w:val="24"/>
        </w:rPr>
      </w:pPr>
      <w:r>
        <w:rPr>
          <w:szCs w:val="24"/>
        </w:rPr>
        <w:t xml:space="preserve">- штрафы, </w:t>
      </w:r>
      <w:r w:rsidRPr="00CD480A">
        <w:rPr>
          <w:szCs w:val="24"/>
        </w:rPr>
        <w:t>санкции, возмещение ущерба и прочие неналоговые доходы – 173,3 млн. руб. (-32,4 %).</w:t>
      </w:r>
    </w:p>
    <w:p w:rsidR="005A227E" w:rsidRPr="00CD480A" w:rsidRDefault="005A227E" w:rsidP="005A227E">
      <w:pPr>
        <w:pStyle w:val="73"/>
        <w:spacing w:line="276" w:lineRule="auto"/>
        <w:ind w:firstLine="720"/>
        <w:jc w:val="both"/>
        <w:rPr>
          <w:b w:val="0"/>
          <w:szCs w:val="28"/>
        </w:rPr>
      </w:pPr>
      <w:r w:rsidRPr="00CD480A">
        <w:rPr>
          <w:b w:val="0"/>
          <w:szCs w:val="24"/>
        </w:rPr>
        <w:t>Таким образом, общий объем доходов бюджета городского округа на 01.07.2017 составил 5 499,87 млн. руб.</w:t>
      </w:r>
      <w:r w:rsidR="00F77E93" w:rsidRPr="00CD480A">
        <w:rPr>
          <w:b w:val="0"/>
          <w:szCs w:val="24"/>
        </w:rPr>
        <w:t xml:space="preserve"> (+1,0 % к уровню прошлого года)</w:t>
      </w:r>
      <w:r w:rsidRPr="00CD480A">
        <w:rPr>
          <w:b w:val="0"/>
          <w:szCs w:val="24"/>
        </w:rPr>
        <w:t xml:space="preserve">, в том числе: налоговые и неналоговые доходы - </w:t>
      </w:r>
      <w:r w:rsidRPr="00CD480A">
        <w:rPr>
          <w:b w:val="0"/>
          <w:szCs w:val="28"/>
        </w:rPr>
        <w:t>2 775,3 млн. руб. (</w:t>
      </w:r>
      <w:r w:rsidR="00F77E93" w:rsidRPr="00CD480A">
        <w:rPr>
          <w:b w:val="0"/>
          <w:szCs w:val="28"/>
        </w:rPr>
        <w:t>- 2,9 %</w:t>
      </w:r>
      <w:r w:rsidRPr="00CD480A">
        <w:rPr>
          <w:b w:val="0"/>
          <w:szCs w:val="28"/>
        </w:rPr>
        <w:t>), безвозмездные поступления – 2</w:t>
      </w:r>
      <w:r w:rsidR="00F846E0" w:rsidRPr="00CD480A">
        <w:rPr>
          <w:b w:val="0"/>
          <w:szCs w:val="28"/>
        </w:rPr>
        <w:t> </w:t>
      </w:r>
      <w:r w:rsidRPr="00CD480A">
        <w:rPr>
          <w:b w:val="0"/>
          <w:szCs w:val="28"/>
        </w:rPr>
        <w:t>724,5</w:t>
      </w:r>
      <w:r w:rsidR="00F846E0" w:rsidRPr="00CD480A">
        <w:rPr>
          <w:b w:val="0"/>
          <w:szCs w:val="28"/>
        </w:rPr>
        <w:t> </w:t>
      </w:r>
      <w:r w:rsidRPr="00CD480A">
        <w:rPr>
          <w:b w:val="0"/>
          <w:szCs w:val="28"/>
        </w:rPr>
        <w:t>млн. руб. (+5,4 %).</w:t>
      </w:r>
    </w:p>
    <w:p w:rsidR="005A227E" w:rsidRPr="00CD480A" w:rsidRDefault="005A227E" w:rsidP="005A227E">
      <w:pPr>
        <w:pStyle w:val="73"/>
        <w:spacing w:line="276" w:lineRule="auto"/>
        <w:ind w:firstLine="720"/>
        <w:jc w:val="both"/>
        <w:rPr>
          <w:b w:val="0"/>
          <w:szCs w:val="24"/>
        </w:rPr>
      </w:pPr>
      <w:r w:rsidRPr="00CD480A">
        <w:rPr>
          <w:b w:val="0"/>
          <w:szCs w:val="24"/>
        </w:rPr>
        <w:t xml:space="preserve">Прочие доходы СФБ (утилизационный сбор за колесные транспортные средства) поступили в федеральный бюджет в сумме 7 316,6 млн. руб., что на 40,1 % больше, чем в соответствующем периоде прошлого года в связи с повышением ставок сбора. </w:t>
      </w:r>
    </w:p>
    <w:p w:rsidR="005A227E" w:rsidRPr="007A420C" w:rsidRDefault="005A227E" w:rsidP="005A227E">
      <w:pPr>
        <w:pStyle w:val="73"/>
        <w:spacing w:line="276" w:lineRule="auto"/>
        <w:ind w:firstLine="720"/>
        <w:jc w:val="both"/>
        <w:rPr>
          <w:b w:val="0"/>
          <w:szCs w:val="24"/>
        </w:rPr>
      </w:pPr>
      <w:r w:rsidRPr="00CD480A">
        <w:rPr>
          <w:b w:val="0"/>
          <w:szCs w:val="24"/>
        </w:rPr>
        <w:t>Общий объем расходов бюджета за 1 полугодие 2017 года составил 5</w:t>
      </w:r>
      <w:r w:rsidR="00854713" w:rsidRPr="00CD480A">
        <w:rPr>
          <w:b w:val="0"/>
          <w:szCs w:val="24"/>
        </w:rPr>
        <w:t> </w:t>
      </w:r>
      <w:r w:rsidRPr="00CD480A">
        <w:rPr>
          <w:b w:val="0"/>
          <w:szCs w:val="24"/>
        </w:rPr>
        <w:t>680</w:t>
      </w:r>
      <w:r w:rsidR="00854713" w:rsidRPr="00CD480A">
        <w:rPr>
          <w:b w:val="0"/>
          <w:szCs w:val="24"/>
        </w:rPr>
        <w:t>,</w:t>
      </w:r>
      <w:r w:rsidRPr="00CD480A">
        <w:rPr>
          <w:b w:val="0"/>
          <w:szCs w:val="24"/>
        </w:rPr>
        <w:t>2 млн. руб. (- 1,5 % от уровня января – июня 2016 года).</w:t>
      </w:r>
    </w:p>
    <w:p w:rsidR="005A227E" w:rsidRDefault="005A227E" w:rsidP="005A227E">
      <w:pPr>
        <w:pStyle w:val="aff1"/>
        <w:spacing w:line="276" w:lineRule="auto"/>
        <w:rPr>
          <w:sz w:val="24"/>
          <w:szCs w:val="24"/>
        </w:rPr>
      </w:pPr>
      <w:r w:rsidRPr="002A65CC">
        <w:rPr>
          <w:sz w:val="24"/>
          <w:szCs w:val="24"/>
        </w:rPr>
        <w:t>В 1 полугодии 201</w:t>
      </w:r>
      <w:r>
        <w:rPr>
          <w:sz w:val="24"/>
          <w:szCs w:val="24"/>
        </w:rPr>
        <w:t>7</w:t>
      </w:r>
      <w:r w:rsidRPr="002A65CC">
        <w:rPr>
          <w:sz w:val="24"/>
          <w:szCs w:val="24"/>
        </w:rPr>
        <w:t xml:space="preserve"> года </w:t>
      </w:r>
      <w:r>
        <w:rPr>
          <w:sz w:val="24"/>
          <w:szCs w:val="24"/>
        </w:rPr>
        <w:t>снизились расходы местного бюджета на общегосударственные расходы на 19,3 %, национальную безопасность и правоохранительную деятельность на 8,0 %, жилищно-коммунальное хозяйство на 28,3 %, образование на 1,7 %, социальную политику на 18 %, физическую культуру и спорт на 23,8 %, средства массовой информации на 20,7 %. Выросли расходы на национальную экономику и, в частности, на дорожное хозяйство, на 36,5 %, охрану окружающей среды на 9,6 %, культуру и кинематографию на 2,7 %, обслуживание муниципального долга на 0,3 %.</w:t>
      </w:r>
    </w:p>
    <w:p w:rsidR="00D447A5" w:rsidRPr="00D447A5" w:rsidRDefault="00D447A5" w:rsidP="005A227E">
      <w:pPr>
        <w:pStyle w:val="aff1"/>
        <w:spacing w:line="276" w:lineRule="auto"/>
        <w:rPr>
          <w:sz w:val="24"/>
          <w:szCs w:val="24"/>
        </w:rPr>
      </w:pPr>
      <w:r>
        <w:rPr>
          <w:sz w:val="24"/>
          <w:szCs w:val="24"/>
        </w:rPr>
        <w:t>Согласно рейтингу городских округов Самарской области за январь-июнь 2017 года, опубликованному министерством экономического развития, инвестиций и торговли Самарской области, по показателю «Бюджетная обеспеченность за счет налоговых и неналоговых доходов на душу населения» городской округ Тольятти снизился с 3 – го места на 4-ое место; значение показателя составило 3 906 руб. По тому же показателю, но с учетом безвозмездных перечислений (7 740 руб. на душу населения) Тольятти – на 3-ем месте; в январе-июне 2016 года был на 4-ом месте</w:t>
      </w:r>
      <w:r>
        <w:rPr>
          <w:rStyle w:val="affc"/>
          <w:sz w:val="24"/>
          <w:szCs w:val="24"/>
        </w:rPr>
        <w:footnoteReference w:id="7"/>
      </w:r>
      <w:r>
        <w:rPr>
          <w:sz w:val="24"/>
          <w:szCs w:val="24"/>
        </w:rPr>
        <w:t>.</w:t>
      </w:r>
    </w:p>
    <w:p w:rsidR="005A227E" w:rsidRPr="002B5315" w:rsidRDefault="005A227E" w:rsidP="005A227E">
      <w:pPr>
        <w:pStyle w:val="af1"/>
        <w:spacing w:line="276" w:lineRule="auto"/>
        <w:ind w:firstLine="709"/>
        <w:rPr>
          <w:szCs w:val="24"/>
        </w:rPr>
      </w:pPr>
      <w:r>
        <w:rPr>
          <w:szCs w:val="24"/>
        </w:rPr>
        <w:t>Оценка на конец 2017 года ожидаемых значений показателей СФБ произведена на основании полугодовых статистических и налоговых данных, с учетом данных о доходах и расходах бюджета городского округа в редакции Думы городского округа Тольятти № 1533 от 20.09.2017 «</w:t>
      </w:r>
      <w:r w:rsidRPr="002B5315">
        <w:rPr>
          <w:szCs w:val="24"/>
        </w:rPr>
        <w:t>О внесении изменений в решение Думы городского округа Тольятти от 07.12.2016 № 1274 «О бюджете городского округа Тольятти на 2017 год и на плановый период 2018 и 2019 годов»</w:t>
      </w:r>
      <w:r>
        <w:rPr>
          <w:szCs w:val="24"/>
        </w:rPr>
        <w:t>.</w:t>
      </w:r>
    </w:p>
    <w:p w:rsidR="005A227E" w:rsidRPr="00DD44A8" w:rsidRDefault="005A227E" w:rsidP="005A227E">
      <w:pPr>
        <w:pStyle w:val="af1"/>
        <w:spacing w:line="276" w:lineRule="auto"/>
        <w:ind w:firstLine="709"/>
        <w:rPr>
          <w:szCs w:val="24"/>
        </w:rPr>
      </w:pPr>
      <w:r w:rsidRPr="002A65CC">
        <w:rPr>
          <w:szCs w:val="24"/>
        </w:rPr>
        <w:t>По оценке, к концу 201</w:t>
      </w:r>
      <w:r>
        <w:rPr>
          <w:szCs w:val="24"/>
        </w:rPr>
        <w:t xml:space="preserve">7 года </w:t>
      </w:r>
      <w:r w:rsidRPr="002A65CC">
        <w:rPr>
          <w:szCs w:val="24"/>
        </w:rPr>
        <w:t xml:space="preserve">совокупный </w:t>
      </w:r>
      <w:r>
        <w:rPr>
          <w:szCs w:val="24"/>
        </w:rPr>
        <w:t>объем</w:t>
      </w:r>
      <w:r w:rsidRPr="002A65CC">
        <w:rPr>
          <w:szCs w:val="24"/>
        </w:rPr>
        <w:t xml:space="preserve"> финансовых ресурсов, сформированных на территории городского округа Тольятти (</w:t>
      </w:r>
      <w:r>
        <w:rPr>
          <w:szCs w:val="24"/>
        </w:rPr>
        <w:t>с учетом</w:t>
      </w:r>
      <w:r w:rsidRPr="002A65CC">
        <w:rPr>
          <w:szCs w:val="24"/>
        </w:rPr>
        <w:t xml:space="preserve"> сальдо взаимора</w:t>
      </w:r>
      <w:r>
        <w:rPr>
          <w:szCs w:val="24"/>
        </w:rPr>
        <w:t>счет</w:t>
      </w:r>
      <w:r w:rsidRPr="002A65CC">
        <w:rPr>
          <w:szCs w:val="24"/>
        </w:rPr>
        <w:t xml:space="preserve">ов с вышестоящими уровнями бюджета), </w:t>
      </w:r>
      <w:r w:rsidRPr="00DD44A8">
        <w:rPr>
          <w:szCs w:val="24"/>
        </w:rPr>
        <w:t xml:space="preserve">составит </w:t>
      </w:r>
      <w:r>
        <w:rPr>
          <w:szCs w:val="24"/>
        </w:rPr>
        <w:t>111 390</w:t>
      </w:r>
      <w:r w:rsidRPr="00DD44A8">
        <w:rPr>
          <w:szCs w:val="24"/>
        </w:rPr>
        <w:t xml:space="preserve"> млн. руб., что на 1</w:t>
      </w:r>
      <w:r>
        <w:rPr>
          <w:szCs w:val="24"/>
        </w:rPr>
        <w:t>1,5</w:t>
      </w:r>
      <w:r w:rsidRPr="00DD44A8">
        <w:rPr>
          <w:szCs w:val="24"/>
        </w:rPr>
        <w:t xml:space="preserve"> % </w:t>
      </w:r>
      <w:r>
        <w:rPr>
          <w:szCs w:val="24"/>
        </w:rPr>
        <w:t>больше</w:t>
      </w:r>
      <w:r w:rsidRPr="00DD44A8">
        <w:rPr>
          <w:szCs w:val="24"/>
        </w:rPr>
        <w:t>, чем в 201</w:t>
      </w:r>
      <w:r>
        <w:rPr>
          <w:szCs w:val="24"/>
        </w:rPr>
        <w:t xml:space="preserve">6 году (наибольшую долю в приросте обеспечат поступления в федеральный бюджет </w:t>
      </w:r>
      <w:r w:rsidRPr="002E220A">
        <w:rPr>
          <w:szCs w:val="24"/>
        </w:rPr>
        <w:t xml:space="preserve">утилизационного сбора </w:t>
      </w:r>
      <w:r>
        <w:rPr>
          <w:szCs w:val="24"/>
        </w:rPr>
        <w:t>за</w:t>
      </w:r>
      <w:r w:rsidRPr="002E220A">
        <w:rPr>
          <w:szCs w:val="24"/>
        </w:rPr>
        <w:t xml:space="preserve"> колесны</w:t>
      </w:r>
      <w:r>
        <w:rPr>
          <w:szCs w:val="24"/>
        </w:rPr>
        <w:t>е</w:t>
      </w:r>
      <w:r w:rsidRPr="002E220A">
        <w:rPr>
          <w:szCs w:val="24"/>
        </w:rPr>
        <w:t xml:space="preserve"> транспортны</w:t>
      </w:r>
      <w:r>
        <w:rPr>
          <w:szCs w:val="24"/>
        </w:rPr>
        <w:t>е</w:t>
      </w:r>
      <w:r w:rsidRPr="002E220A">
        <w:rPr>
          <w:szCs w:val="24"/>
        </w:rPr>
        <w:t xml:space="preserve"> средств</w:t>
      </w:r>
      <w:r>
        <w:rPr>
          <w:szCs w:val="24"/>
        </w:rPr>
        <w:t>а, о чем указано выше).</w:t>
      </w:r>
    </w:p>
    <w:p w:rsidR="005A227E" w:rsidRDefault="005A227E" w:rsidP="005A227E">
      <w:pPr>
        <w:pStyle w:val="af1"/>
        <w:spacing w:line="276" w:lineRule="auto"/>
        <w:ind w:firstLine="709"/>
        <w:rPr>
          <w:szCs w:val="24"/>
        </w:rPr>
      </w:pPr>
      <w:r>
        <w:rPr>
          <w:szCs w:val="24"/>
        </w:rPr>
        <w:t xml:space="preserve">Прибыль прибыльных организаций вырастет на 5,5 % до 19 455 млн. руб. с учетом роста прибыли за </w:t>
      </w:r>
      <w:r>
        <w:rPr>
          <w:szCs w:val="24"/>
          <w:lang w:val="en-US"/>
        </w:rPr>
        <w:t>I</w:t>
      </w:r>
      <w:r>
        <w:rPr>
          <w:szCs w:val="24"/>
        </w:rPr>
        <w:t xml:space="preserve"> полугодие 2017 года организаций химического производства на 1,4 % и других организаций городского округа на 138,9 %.</w:t>
      </w:r>
    </w:p>
    <w:p w:rsidR="005A227E" w:rsidRDefault="005A227E" w:rsidP="005A227E">
      <w:pPr>
        <w:pStyle w:val="af1"/>
        <w:spacing w:line="276" w:lineRule="auto"/>
        <w:ind w:firstLine="709"/>
        <w:rPr>
          <w:szCs w:val="24"/>
        </w:rPr>
      </w:pPr>
      <w:r>
        <w:rPr>
          <w:szCs w:val="24"/>
        </w:rPr>
        <w:t>Прирост амортизационных отчислений на полное восстановление основных средств организаций городского округа оценивается в 10 % (на уровне 2016 года), их сумма составит 20 790 млн. руб.</w:t>
      </w:r>
    </w:p>
    <w:p w:rsidR="005A227E" w:rsidRDefault="005A227E" w:rsidP="005A227E">
      <w:pPr>
        <w:pStyle w:val="af1"/>
        <w:spacing w:line="276" w:lineRule="auto"/>
        <w:ind w:firstLine="709"/>
        <w:rPr>
          <w:szCs w:val="24"/>
        </w:rPr>
      </w:pPr>
      <w:r>
        <w:rPr>
          <w:szCs w:val="24"/>
        </w:rPr>
        <w:t xml:space="preserve">Налоговые доходы СФБ (кроме налога на прибыль организаций) вырастут на 3,2 % и составят 20 174 млн. руб. с учетом фактических полугодовых значений. Неналоговые доходы СФБ </w:t>
      </w:r>
      <w:r w:rsidRPr="000D34D5">
        <w:rPr>
          <w:szCs w:val="24"/>
        </w:rPr>
        <w:t>составят 1 </w:t>
      </w:r>
      <w:r>
        <w:rPr>
          <w:szCs w:val="24"/>
        </w:rPr>
        <w:t>423 млн. руб. при росте на 10,7 %, из них доходы в бюджет городского округа, получаемые в виде арендной либо иной платы за передачу в возмездное пользование муниципального имущества – 802 млн. руб. (+20,9 %) к уровню 2016 года. Прочие доходы СФБ составят 17 228 млн. руб., добавив 38,7 % к уровню 2016 года, с учетом полугодового темпа роста утилизационного сбора за колесные транспортные средства.</w:t>
      </w:r>
    </w:p>
    <w:p w:rsidR="005A227E" w:rsidRDefault="005A227E" w:rsidP="005A227E">
      <w:pPr>
        <w:pStyle w:val="af1"/>
        <w:spacing w:line="276" w:lineRule="auto"/>
        <w:ind w:firstLine="709"/>
        <w:rPr>
          <w:szCs w:val="24"/>
        </w:rPr>
      </w:pPr>
      <w:r>
        <w:rPr>
          <w:szCs w:val="24"/>
        </w:rPr>
        <w:t>Страховые взносы в государственные внебюджетные фонды, по оценке, составят 24 156 млн. руб., что на 0,3 % меньше, чем в 2016 году</w:t>
      </w:r>
      <w:r w:rsidR="000A5B43">
        <w:rPr>
          <w:szCs w:val="24"/>
        </w:rPr>
        <w:t xml:space="preserve"> </w:t>
      </w:r>
      <w:r>
        <w:rPr>
          <w:szCs w:val="24"/>
        </w:rPr>
        <w:t>(в связи с проведением в 2017 году административных процедур по передаче функций администрирования данных доходов в Федеральную налоговую службу, точность оценки невысока).</w:t>
      </w:r>
    </w:p>
    <w:p w:rsidR="005A227E" w:rsidRPr="00DD44A8" w:rsidRDefault="005A227E" w:rsidP="005A227E">
      <w:pPr>
        <w:pStyle w:val="af1"/>
        <w:spacing w:line="276" w:lineRule="auto"/>
        <w:ind w:firstLine="709"/>
        <w:rPr>
          <w:szCs w:val="24"/>
        </w:rPr>
      </w:pPr>
      <w:r>
        <w:rPr>
          <w:szCs w:val="24"/>
        </w:rPr>
        <w:t xml:space="preserve"> </w:t>
      </w:r>
      <w:r w:rsidRPr="00DD44A8">
        <w:rPr>
          <w:szCs w:val="24"/>
        </w:rPr>
        <w:t>Общий объем расходов СФБ в 201</w:t>
      </w:r>
      <w:r>
        <w:rPr>
          <w:szCs w:val="24"/>
        </w:rPr>
        <w:t>7</w:t>
      </w:r>
      <w:r w:rsidRPr="00DD44A8">
        <w:rPr>
          <w:szCs w:val="24"/>
        </w:rPr>
        <w:t xml:space="preserve"> году, по оценке, составит </w:t>
      </w:r>
      <w:r>
        <w:rPr>
          <w:szCs w:val="24"/>
        </w:rPr>
        <w:t>112 168</w:t>
      </w:r>
      <w:r w:rsidRPr="00DD44A8">
        <w:rPr>
          <w:szCs w:val="24"/>
        </w:rPr>
        <w:t xml:space="preserve"> млн. руб., что на 11,</w:t>
      </w:r>
      <w:r>
        <w:rPr>
          <w:szCs w:val="24"/>
        </w:rPr>
        <w:t>5</w:t>
      </w:r>
      <w:r w:rsidRPr="00DD44A8">
        <w:rPr>
          <w:szCs w:val="24"/>
        </w:rPr>
        <w:t xml:space="preserve"> % </w:t>
      </w:r>
      <w:r>
        <w:rPr>
          <w:szCs w:val="24"/>
        </w:rPr>
        <w:t>больше</w:t>
      </w:r>
      <w:r w:rsidRPr="00DD44A8">
        <w:rPr>
          <w:szCs w:val="24"/>
        </w:rPr>
        <w:t>, чем в 201</w:t>
      </w:r>
      <w:r>
        <w:rPr>
          <w:szCs w:val="24"/>
        </w:rPr>
        <w:t>6</w:t>
      </w:r>
      <w:r w:rsidRPr="00DD44A8">
        <w:rPr>
          <w:szCs w:val="24"/>
        </w:rPr>
        <w:t xml:space="preserve"> году, </w:t>
      </w:r>
      <w:r>
        <w:rPr>
          <w:szCs w:val="24"/>
        </w:rPr>
        <w:t>из них б</w:t>
      </w:r>
      <w:r w:rsidRPr="00DD44A8">
        <w:rPr>
          <w:szCs w:val="24"/>
        </w:rPr>
        <w:t>юджетные расходы</w:t>
      </w:r>
      <w:r>
        <w:rPr>
          <w:szCs w:val="24"/>
        </w:rPr>
        <w:t xml:space="preserve"> </w:t>
      </w:r>
      <w:r w:rsidRPr="00DD44A8">
        <w:rPr>
          <w:szCs w:val="24"/>
        </w:rPr>
        <w:t>оценочно вырастут на 7</w:t>
      </w:r>
      <w:r>
        <w:rPr>
          <w:szCs w:val="24"/>
        </w:rPr>
        <w:t>,3</w:t>
      </w:r>
      <w:r w:rsidRPr="00DD44A8">
        <w:rPr>
          <w:szCs w:val="24"/>
        </w:rPr>
        <w:t xml:space="preserve"> % и составят </w:t>
      </w:r>
      <w:r>
        <w:rPr>
          <w:szCs w:val="24"/>
        </w:rPr>
        <w:t>17 557</w:t>
      </w:r>
      <w:r w:rsidRPr="00DD44A8">
        <w:rPr>
          <w:szCs w:val="24"/>
        </w:rPr>
        <w:t xml:space="preserve"> млн. руб., </w:t>
      </w:r>
      <w:r>
        <w:rPr>
          <w:szCs w:val="24"/>
        </w:rPr>
        <w:t xml:space="preserve">включая расходы </w:t>
      </w:r>
      <w:r w:rsidRPr="00DD44A8">
        <w:rPr>
          <w:szCs w:val="24"/>
        </w:rPr>
        <w:t xml:space="preserve">из </w:t>
      </w:r>
      <w:r>
        <w:rPr>
          <w:szCs w:val="24"/>
        </w:rPr>
        <w:t xml:space="preserve">всех уровней бюджета, предусмотренные Планом основных мероприятий по подготовке и проведению празднования 50-летия выпуска первого легкового автомобиля ВАЗ в г.о. Тольятти.   </w:t>
      </w:r>
    </w:p>
    <w:p w:rsidR="005A227E" w:rsidRDefault="005B1E6C" w:rsidP="005A227E">
      <w:pPr>
        <w:widowControl w:val="0"/>
        <w:spacing w:line="276" w:lineRule="auto"/>
        <w:ind w:firstLine="709"/>
        <w:jc w:val="both"/>
        <w:rPr>
          <w:sz w:val="24"/>
          <w:szCs w:val="24"/>
        </w:rPr>
      </w:pPr>
      <w:r w:rsidRPr="002546FC">
        <w:rPr>
          <w:sz w:val="24"/>
          <w:szCs w:val="24"/>
          <w:lang w:eastAsia="ru-RU"/>
        </w:rPr>
        <w:t>Превышение доходов над расходами</w:t>
      </w:r>
      <w:r w:rsidR="005A227E" w:rsidRPr="00DD44A8">
        <w:rPr>
          <w:sz w:val="24"/>
          <w:szCs w:val="24"/>
        </w:rPr>
        <w:t xml:space="preserve"> </w:t>
      </w:r>
      <w:r w:rsidR="000A5B43">
        <w:rPr>
          <w:sz w:val="24"/>
          <w:szCs w:val="24"/>
        </w:rPr>
        <w:t xml:space="preserve">(дефицит) </w:t>
      </w:r>
      <w:r w:rsidR="005A227E">
        <w:rPr>
          <w:sz w:val="24"/>
          <w:szCs w:val="24"/>
        </w:rPr>
        <w:t xml:space="preserve">СФБ оценочно составит </w:t>
      </w:r>
      <w:r w:rsidR="005A227E" w:rsidRPr="00DD44A8">
        <w:rPr>
          <w:sz w:val="24"/>
          <w:szCs w:val="24"/>
        </w:rPr>
        <w:t>0,</w:t>
      </w:r>
      <w:r w:rsidR="005A227E">
        <w:rPr>
          <w:sz w:val="24"/>
          <w:szCs w:val="24"/>
        </w:rPr>
        <w:t>7</w:t>
      </w:r>
      <w:r w:rsidR="005A227E" w:rsidRPr="00DD44A8">
        <w:rPr>
          <w:sz w:val="24"/>
          <w:szCs w:val="24"/>
        </w:rPr>
        <w:t xml:space="preserve"> % от доходной части </w:t>
      </w:r>
      <w:r w:rsidR="005A227E">
        <w:rPr>
          <w:sz w:val="24"/>
          <w:szCs w:val="24"/>
        </w:rPr>
        <w:t>СФБ</w:t>
      </w:r>
      <w:r w:rsidR="005A227E" w:rsidRPr="00DD44A8">
        <w:rPr>
          <w:sz w:val="24"/>
          <w:szCs w:val="24"/>
        </w:rPr>
        <w:t xml:space="preserve"> или </w:t>
      </w:r>
      <w:r w:rsidR="005A227E">
        <w:rPr>
          <w:sz w:val="24"/>
          <w:szCs w:val="24"/>
        </w:rPr>
        <w:t>778 млн. руб.</w:t>
      </w:r>
    </w:p>
    <w:p w:rsidR="005A227E" w:rsidRDefault="005A227E" w:rsidP="005A227E">
      <w:pPr>
        <w:jc w:val="center"/>
        <w:rPr>
          <w:sz w:val="24"/>
          <w:szCs w:val="24"/>
        </w:rPr>
      </w:pPr>
    </w:p>
    <w:p w:rsidR="00B347E3" w:rsidRDefault="005A227E" w:rsidP="005A227E">
      <w:pPr>
        <w:spacing w:line="276" w:lineRule="auto"/>
        <w:jc w:val="center"/>
        <w:rPr>
          <w:sz w:val="24"/>
          <w:szCs w:val="24"/>
        </w:rPr>
      </w:pPr>
      <w:r w:rsidRPr="00846D11">
        <w:rPr>
          <w:sz w:val="24"/>
          <w:szCs w:val="24"/>
        </w:rPr>
        <w:t xml:space="preserve">Ожидаемое выполнение показателей </w:t>
      </w:r>
    </w:p>
    <w:p w:rsidR="005A227E" w:rsidRDefault="005A227E" w:rsidP="005A227E">
      <w:pPr>
        <w:spacing w:line="276" w:lineRule="auto"/>
        <w:jc w:val="center"/>
        <w:rPr>
          <w:sz w:val="24"/>
          <w:szCs w:val="24"/>
        </w:rPr>
      </w:pPr>
      <w:r>
        <w:rPr>
          <w:sz w:val="24"/>
          <w:szCs w:val="24"/>
        </w:rPr>
        <w:t>по разделу «Финансы (сводный финансовый баланс)</w:t>
      </w:r>
      <w:r w:rsidRPr="00846D11">
        <w:rPr>
          <w:sz w:val="24"/>
          <w:szCs w:val="24"/>
        </w:rPr>
        <w:t xml:space="preserve"> на 201</w:t>
      </w:r>
      <w:r>
        <w:rPr>
          <w:sz w:val="24"/>
          <w:szCs w:val="24"/>
        </w:rPr>
        <w:t>7</w:t>
      </w:r>
      <w:r w:rsidR="004C3658">
        <w:rPr>
          <w:sz w:val="24"/>
          <w:szCs w:val="24"/>
        </w:rPr>
        <w:t xml:space="preserve"> </w:t>
      </w:r>
      <w:r w:rsidRPr="00846D11">
        <w:rPr>
          <w:sz w:val="24"/>
          <w:szCs w:val="24"/>
        </w:rPr>
        <w:t>год</w:t>
      </w:r>
    </w:p>
    <w:p w:rsidR="005A227E" w:rsidRDefault="005A227E" w:rsidP="005A227E">
      <w:pPr>
        <w:jc w:val="center"/>
        <w:rPr>
          <w:sz w:val="24"/>
          <w:szCs w:val="24"/>
        </w:rPr>
      </w:pPr>
    </w:p>
    <w:tbl>
      <w:tblPr>
        <w:tblW w:w="9371" w:type="dxa"/>
        <w:tblInd w:w="93" w:type="dxa"/>
        <w:tblLook w:val="00A0" w:firstRow="1" w:lastRow="0" w:firstColumn="1" w:lastColumn="0" w:noHBand="0" w:noVBand="0"/>
      </w:tblPr>
      <w:tblGrid>
        <w:gridCol w:w="3920"/>
        <w:gridCol w:w="1460"/>
        <w:gridCol w:w="1357"/>
        <w:gridCol w:w="1358"/>
        <w:gridCol w:w="1276"/>
      </w:tblGrid>
      <w:tr w:rsidR="005A227E" w:rsidRPr="00907F0B" w:rsidTr="00A9624F">
        <w:trPr>
          <w:trHeight w:val="477"/>
          <w:tblHeader/>
        </w:trPr>
        <w:tc>
          <w:tcPr>
            <w:tcW w:w="3920" w:type="dxa"/>
            <w:vMerge w:val="restart"/>
            <w:tcBorders>
              <w:top w:val="single" w:sz="4" w:space="0" w:color="auto"/>
              <w:left w:val="single" w:sz="4" w:space="0" w:color="auto"/>
              <w:right w:val="single" w:sz="4" w:space="0" w:color="auto"/>
            </w:tcBorders>
            <w:vAlign w:val="center"/>
          </w:tcPr>
          <w:p w:rsidR="005A227E" w:rsidRPr="002546FC" w:rsidRDefault="005A227E" w:rsidP="00A9624F">
            <w:pPr>
              <w:suppressAutoHyphens w:val="0"/>
              <w:spacing w:line="276" w:lineRule="auto"/>
              <w:jc w:val="center"/>
              <w:rPr>
                <w:bCs/>
                <w:sz w:val="24"/>
                <w:szCs w:val="24"/>
                <w:lang w:eastAsia="ru-RU"/>
              </w:rPr>
            </w:pPr>
            <w:r w:rsidRPr="002546FC">
              <w:rPr>
                <w:bCs/>
                <w:sz w:val="24"/>
                <w:szCs w:val="24"/>
                <w:lang w:eastAsia="ru-RU"/>
              </w:rPr>
              <w:t>Показатели</w:t>
            </w:r>
          </w:p>
        </w:tc>
        <w:tc>
          <w:tcPr>
            <w:tcW w:w="1460" w:type="dxa"/>
            <w:vMerge w:val="restart"/>
            <w:tcBorders>
              <w:top w:val="single" w:sz="4" w:space="0" w:color="auto"/>
              <w:left w:val="single" w:sz="4" w:space="0" w:color="auto"/>
              <w:right w:val="single" w:sz="4" w:space="0" w:color="auto"/>
            </w:tcBorders>
            <w:vAlign w:val="center"/>
          </w:tcPr>
          <w:p w:rsidR="005A227E" w:rsidRPr="002546FC" w:rsidRDefault="005A227E" w:rsidP="00A9624F">
            <w:pPr>
              <w:suppressAutoHyphens w:val="0"/>
              <w:spacing w:line="276" w:lineRule="auto"/>
              <w:jc w:val="center"/>
              <w:rPr>
                <w:bCs/>
                <w:sz w:val="24"/>
                <w:szCs w:val="24"/>
                <w:lang w:eastAsia="ru-RU"/>
              </w:rPr>
            </w:pPr>
            <w:r w:rsidRPr="002546FC">
              <w:rPr>
                <w:bCs/>
                <w:sz w:val="24"/>
                <w:szCs w:val="24"/>
                <w:lang w:eastAsia="ru-RU"/>
              </w:rPr>
              <w:t>Ед.изм.</w:t>
            </w:r>
          </w:p>
        </w:tc>
        <w:tc>
          <w:tcPr>
            <w:tcW w:w="2715" w:type="dxa"/>
            <w:gridSpan w:val="2"/>
            <w:tcBorders>
              <w:top w:val="single" w:sz="4" w:space="0" w:color="auto"/>
              <w:left w:val="nil"/>
              <w:bottom w:val="single" w:sz="4" w:space="0" w:color="auto"/>
              <w:right w:val="single" w:sz="4" w:space="0" w:color="auto"/>
            </w:tcBorders>
          </w:tcPr>
          <w:p w:rsidR="005A227E" w:rsidRPr="00066E74" w:rsidRDefault="005A227E" w:rsidP="00A9624F">
            <w:pPr>
              <w:jc w:val="center"/>
              <w:rPr>
                <w:sz w:val="24"/>
                <w:szCs w:val="24"/>
              </w:rPr>
            </w:pPr>
            <w:r w:rsidRPr="00066E74">
              <w:rPr>
                <w:sz w:val="24"/>
                <w:szCs w:val="24"/>
              </w:rPr>
              <w:t xml:space="preserve">Прогноз </w:t>
            </w:r>
            <w:r>
              <w:rPr>
                <w:sz w:val="24"/>
                <w:szCs w:val="24"/>
              </w:rPr>
              <w:t xml:space="preserve">на </w:t>
            </w:r>
            <w:r w:rsidRPr="00066E74">
              <w:rPr>
                <w:sz w:val="24"/>
                <w:szCs w:val="24"/>
              </w:rPr>
              <w:t>201</w:t>
            </w:r>
            <w:r>
              <w:rPr>
                <w:sz w:val="24"/>
                <w:szCs w:val="24"/>
              </w:rPr>
              <w:t>7</w:t>
            </w:r>
            <w:r w:rsidRPr="00066E74">
              <w:rPr>
                <w:sz w:val="24"/>
                <w:szCs w:val="24"/>
              </w:rPr>
              <w:t xml:space="preserve"> г</w:t>
            </w:r>
            <w:r>
              <w:rPr>
                <w:sz w:val="24"/>
                <w:szCs w:val="24"/>
              </w:rPr>
              <w:t>од</w:t>
            </w:r>
          </w:p>
        </w:tc>
        <w:tc>
          <w:tcPr>
            <w:tcW w:w="1276" w:type="dxa"/>
            <w:vMerge w:val="restart"/>
            <w:tcBorders>
              <w:top w:val="single" w:sz="4" w:space="0" w:color="auto"/>
              <w:left w:val="nil"/>
              <w:right w:val="single" w:sz="4" w:space="0" w:color="000000"/>
            </w:tcBorders>
          </w:tcPr>
          <w:p w:rsidR="005A227E" w:rsidRPr="00066E74" w:rsidRDefault="005A227E" w:rsidP="00A9624F">
            <w:pPr>
              <w:jc w:val="center"/>
              <w:rPr>
                <w:sz w:val="24"/>
                <w:szCs w:val="24"/>
              </w:rPr>
            </w:pPr>
            <w:r w:rsidRPr="00066E74">
              <w:rPr>
                <w:sz w:val="24"/>
                <w:szCs w:val="24"/>
              </w:rPr>
              <w:t>201</w:t>
            </w:r>
            <w:r>
              <w:rPr>
                <w:sz w:val="24"/>
                <w:szCs w:val="24"/>
              </w:rPr>
              <w:t>7</w:t>
            </w:r>
            <w:r w:rsidRPr="00066E74">
              <w:rPr>
                <w:sz w:val="24"/>
                <w:szCs w:val="24"/>
              </w:rPr>
              <w:t xml:space="preserve"> г</w:t>
            </w:r>
            <w:r>
              <w:rPr>
                <w:sz w:val="24"/>
                <w:szCs w:val="24"/>
              </w:rPr>
              <w:t>од (оценка)</w:t>
            </w:r>
          </w:p>
        </w:tc>
      </w:tr>
      <w:tr w:rsidR="005A227E" w:rsidRPr="00907F0B" w:rsidTr="007A0B64">
        <w:trPr>
          <w:trHeight w:val="407"/>
          <w:tblHeader/>
        </w:trPr>
        <w:tc>
          <w:tcPr>
            <w:tcW w:w="3920" w:type="dxa"/>
            <w:vMerge/>
            <w:tcBorders>
              <w:left w:val="single" w:sz="4" w:space="0" w:color="auto"/>
              <w:bottom w:val="single" w:sz="4" w:space="0" w:color="auto"/>
              <w:right w:val="single" w:sz="4" w:space="0" w:color="auto"/>
            </w:tcBorders>
            <w:vAlign w:val="center"/>
          </w:tcPr>
          <w:p w:rsidR="005A227E" w:rsidRPr="002546FC" w:rsidRDefault="005A227E" w:rsidP="00A9624F">
            <w:pPr>
              <w:suppressAutoHyphens w:val="0"/>
              <w:spacing w:line="276" w:lineRule="auto"/>
              <w:rPr>
                <w:b/>
                <w:bCs/>
                <w:sz w:val="24"/>
                <w:szCs w:val="24"/>
                <w:lang w:eastAsia="ru-RU"/>
              </w:rPr>
            </w:pPr>
          </w:p>
        </w:tc>
        <w:tc>
          <w:tcPr>
            <w:tcW w:w="1460" w:type="dxa"/>
            <w:vMerge/>
            <w:tcBorders>
              <w:left w:val="single" w:sz="4" w:space="0" w:color="auto"/>
              <w:bottom w:val="single" w:sz="4" w:space="0" w:color="auto"/>
              <w:right w:val="single" w:sz="4" w:space="0" w:color="auto"/>
            </w:tcBorders>
            <w:vAlign w:val="center"/>
          </w:tcPr>
          <w:p w:rsidR="005A227E" w:rsidRPr="002546FC" w:rsidRDefault="005A227E" w:rsidP="00A9624F">
            <w:pPr>
              <w:suppressAutoHyphens w:val="0"/>
              <w:spacing w:line="276" w:lineRule="auto"/>
              <w:rPr>
                <w:b/>
                <w:bCs/>
                <w:sz w:val="24"/>
                <w:szCs w:val="24"/>
                <w:lang w:eastAsia="ru-RU"/>
              </w:rPr>
            </w:pPr>
          </w:p>
        </w:tc>
        <w:tc>
          <w:tcPr>
            <w:tcW w:w="1357" w:type="dxa"/>
            <w:tcBorders>
              <w:top w:val="single" w:sz="4" w:space="0" w:color="auto"/>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bCs/>
                <w:sz w:val="24"/>
                <w:szCs w:val="24"/>
                <w:lang w:eastAsia="ru-RU"/>
              </w:rPr>
            </w:pPr>
            <w:r w:rsidRPr="002546FC">
              <w:rPr>
                <w:bCs/>
                <w:sz w:val="24"/>
                <w:szCs w:val="24"/>
                <w:lang w:eastAsia="ru-RU"/>
              </w:rPr>
              <w:t>1 вариант</w:t>
            </w:r>
          </w:p>
        </w:tc>
        <w:tc>
          <w:tcPr>
            <w:tcW w:w="1358" w:type="dxa"/>
            <w:tcBorders>
              <w:top w:val="single" w:sz="4" w:space="0" w:color="auto"/>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bCs/>
                <w:sz w:val="24"/>
                <w:szCs w:val="24"/>
                <w:lang w:eastAsia="ru-RU"/>
              </w:rPr>
            </w:pPr>
            <w:r w:rsidRPr="002546FC">
              <w:rPr>
                <w:bCs/>
                <w:sz w:val="24"/>
                <w:szCs w:val="24"/>
                <w:lang w:eastAsia="ru-RU"/>
              </w:rPr>
              <w:t>2 вариант</w:t>
            </w:r>
          </w:p>
        </w:tc>
        <w:tc>
          <w:tcPr>
            <w:tcW w:w="1276" w:type="dxa"/>
            <w:vMerge/>
            <w:tcBorders>
              <w:left w:val="nil"/>
              <w:bottom w:val="single" w:sz="4" w:space="0" w:color="auto"/>
              <w:right w:val="single" w:sz="4" w:space="0" w:color="000000"/>
            </w:tcBorders>
            <w:vAlign w:val="center"/>
          </w:tcPr>
          <w:p w:rsidR="005A227E" w:rsidRPr="002546FC" w:rsidRDefault="005A227E" w:rsidP="00A9624F">
            <w:pPr>
              <w:suppressAutoHyphens w:val="0"/>
              <w:spacing w:line="276" w:lineRule="auto"/>
              <w:rPr>
                <w:b/>
                <w:bCs/>
                <w:sz w:val="24"/>
                <w:szCs w:val="24"/>
                <w:lang w:eastAsia="ru-RU"/>
              </w:rPr>
            </w:pPr>
          </w:p>
        </w:tc>
      </w:tr>
      <w:tr w:rsidR="005A227E" w:rsidRPr="00907F0B" w:rsidTr="007A0B64">
        <w:trPr>
          <w:trHeight w:val="407"/>
        </w:trPr>
        <w:tc>
          <w:tcPr>
            <w:tcW w:w="3920" w:type="dxa"/>
            <w:tcBorders>
              <w:left w:val="single" w:sz="4" w:space="0" w:color="auto"/>
              <w:bottom w:val="single" w:sz="4" w:space="0" w:color="auto"/>
              <w:right w:val="single" w:sz="4" w:space="0" w:color="auto"/>
            </w:tcBorders>
            <w:vAlign w:val="center"/>
          </w:tcPr>
          <w:p w:rsidR="005A227E" w:rsidRPr="002546FC" w:rsidRDefault="005A227E" w:rsidP="00A9624F">
            <w:pPr>
              <w:suppressAutoHyphens w:val="0"/>
              <w:spacing w:line="276" w:lineRule="auto"/>
              <w:jc w:val="center"/>
              <w:rPr>
                <w:b/>
                <w:bCs/>
                <w:i/>
                <w:sz w:val="24"/>
                <w:szCs w:val="24"/>
                <w:lang w:eastAsia="ru-RU"/>
              </w:rPr>
            </w:pPr>
            <w:r w:rsidRPr="002546FC">
              <w:rPr>
                <w:b/>
                <w:bCs/>
                <w:i/>
                <w:sz w:val="24"/>
                <w:szCs w:val="24"/>
                <w:lang w:eastAsia="ru-RU"/>
              </w:rPr>
              <w:t>Доходы</w:t>
            </w:r>
          </w:p>
        </w:tc>
        <w:tc>
          <w:tcPr>
            <w:tcW w:w="1460" w:type="dxa"/>
            <w:tcBorders>
              <w:left w:val="single" w:sz="4" w:space="0" w:color="auto"/>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sidRPr="002546FC">
              <w:rPr>
                <w:sz w:val="24"/>
                <w:szCs w:val="24"/>
                <w:lang w:eastAsia="ru-RU"/>
              </w:rPr>
              <w:t>млн. руб.</w:t>
            </w:r>
          </w:p>
        </w:tc>
        <w:tc>
          <w:tcPr>
            <w:tcW w:w="1357" w:type="dxa"/>
            <w:tcBorders>
              <w:top w:val="single" w:sz="4" w:space="0" w:color="auto"/>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104 507</w:t>
            </w:r>
          </w:p>
        </w:tc>
        <w:tc>
          <w:tcPr>
            <w:tcW w:w="1358" w:type="dxa"/>
            <w:tcBorders>
              <w:top w:val="single" w:sz="4" w:space="0" w:color="auto"/>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106 575</w:t>
            </w:r>
          </w:p>
        </w:tc>
        <w:tc>
          <w:tcPr>
            <w:tcW w:w="1276" w:type="dxa"/>
            <w:tcBorders>
              <w:top w:val="single" w:sz="4" w:space="0" w:color="auto"/>
              <w:left w:val="nil"/>
              <w:bottom w:val="single" w:sz="4" w:space="0" w:color="auto"/>
              <w:right w:val="single" w:sz="4" w:space="0" w:color="000000"/>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111 390</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Прибыль прибыльных организаций</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24 932</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25 837</w:t>
            </w:r>
          </w:p>
        </w:tc>
        <w:tc>
          <w:tcPr>
            <w:tcW w:w="1276" w:type="dxa"/>
            <w:tcBorders>
              <w:top w:val="single" w:sz="4" w:space="0" w:color="auto"/>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19 455</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Амортизационные отчисления</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15 934</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16 499</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20 790</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Налоговые доходы, в том числе:</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18 520</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19 112</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20 174</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налог на добавленную стоимость</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2 107</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2 181</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2 921</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налог на доходы физических лиц</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10 040</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10 363</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10 436</w:t>
            </w:r>
          </w:p>
        </w:tc>
      </w:tr>
      <w:tr w:rsidR="005A227E" w:rsidRPr="00907F0B" w:rsidTr="007A0B64">
        <w:trPr>
          <w:trHeight w:val="255"/>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акцизы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806</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820</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606</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налоги на совокупный доход</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1 203</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1 243</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1 376</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налоги на имущество </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4 092</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4 235</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4 574</w:t>
            </w:r>
          </w:p>
        </w:tc>
      </w:tr>
      <w:tr w:rsidR="005A227E" w:rsidRPr="00907F0B" w:rsidTr="007A0B64">
        <w:trPr>
          <w:trHeight w:val="58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налоги и сборы за пользование природ. ресурсами</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14</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15</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15</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 xml:space="preserve"> - прочие налоговые доходы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257</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254</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246</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Неналоговые доходы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1 503</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1 538</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1 423</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Прочие доходы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9 977</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10 069</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17 228</w:t>
            </w:r>
          </w:p>
        </w:tc>
      </w:tr>
      <w:tr w:rsidR="005A227E" w:rsidRPr="00907F0B" w:rsidTr="007A0B64">
        <w:trPr>
          <w:trHeight w:val="57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Страховые взносы в государственные внебюджетные фонды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22 416</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23 137</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24 156</w:t>
            </w:r>
          </w:p>
        </w:tc>
      </w:tr>
      <w:tr w:rsidR="005A227E" w:rsidRPr="00907F0B" w:rsidTr="007A0B64">
        <w:trPr>
          <w:trHeight w:val="5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Сальдо финансовых взаимоотношений с вышестоящими уровнями власти</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11 266</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10 383</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8 164</w:t>
            </w:r>
          </w:p>
        </w:tc>
      </w:tr>
      <w:tr w:rsidR="005A227E" w:rsidRPr="00907F0B" w:rsidTr="007A0B64">
        <w:trPr>
          <w:trHeight w:val="27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spacing w:line="276" w:lineRule="auto"/>
              <w:rPr>
                <w:b/>
                <w:bCs/>
                <w:i/>
                <w:iCs/>
                <w:sz w:val="24"/>
                <w:szCs w:val="24"/>
                <w:lang w:eastAsia="ru-RU"/>
              </w:rPr>
            </w:pPr>
            <w:r w:rsidRPr="002546FC">
              <w:rPr>
                <w:b/>
                <w:bCs/>
                <w:i/>
                <w:iCs/>
                <w:sz w:val="24"/>
                <w:szCs w:val="24"/>
                <w:lang w:eastAsia="ru-RU"/>
              </w:rPr>
              <w:t>Расходы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105 472</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107 525</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spacing w:line="276" w:lineRule="auto"/>
              <w:jc w:val="center"/>
              <w:rPr>
                <w:sz w:val="24"/>
                <w:szCs w:val="24"/>
                <w:lang w:eastAsia="ru-RU"/>
              </w:rPr>
            </w:pPr>
            <w:r>
              <w:rPr>
                <w:sz w:val="24"/>
                <w:szCs w:val="24"/>
                <w:lang w:eastAsia="ru-RU"/>
              </w:rPr>
              <w:t>112 168</w:t>
            </w:r>
          </w:p>
        </w:tc>
      </w:tr>
      <w:tr w:rsidR="005A227E" w:rsidRPr="00907F0B" w:rsidTr="007A0B64">
        <w:trPr>
          <w:trHeight w:val="5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за счет средств, остающихся в распоряжении организаций</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33 133</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34 322</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34 172</w:t>
            </w:r>
          </w:p>
        </w:tc>
      </w:tr>
      <w:tr w:rsidR="005A227E" w:rsidRPr="00907F0B" w:rsidTr="007A0B64">
        <w:trPr>
          <w:trHeight w:val="30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общегосударственные вопросы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1 410</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1 457</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1 241</w:t>
            </w:r>
          </w:p>
        </w:tc>
      </w:tr>
      <w:tr w:rsidR="005A227E" w:rsidRPr="00907F0B" w:rsidTr="007A0B64">
        <w:trPr>
          <w:trHeight w:val="30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Pr>
                <w:sz w:val="24"/>
                <w:szCs w:val="24"/>
                <w:lang w:eastAsia="ru-RU"/>
              </w:rPr>
              <w:t>Расходы на национальную оборону</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млн. руб.</w:t>
            </w:r>
          </w:p>
        </w:tc>
        <w:tc>
          <w:tcPr>
            <w:tcW w:w="1357" w:type="dxa"/>
            <w:tcBorders>
              <w:top w:val="nil"/>
              <w:left w:val="nil"/>
              <w:bottom w:val="single" w:sz="4" w:space="0" w:color="auto"/>
              <w:right w:val="single" w:sz="4" w:space="0" w:color="auto"/>
            </w:tcBorders>
            <w:vAlign w:val="center"/>
          </w:tcPr>
          <w:p w:rsidR="005A227E" w:rsidRDefault="005A227E" w:rsidP="00A9624F">
            <w:pPr>
              <w:suppressAutoHyphens w:val="0"/>
              <w:jc w:val="center"/>
              <w:rPr>
                <w:sz w:val="24"/>
                <w:szCs w:val="24"/>
                <w:lang w:eastAsia="ru-RU"/>
              </w:rPr>
            </w:pPr>
            <w:r>
              <w:rPr>
                <w:sz w:val="24"/>
                <w:szCs w:val="24"/>
                <w:lang w:eastAsia="ru-RU"/>
              </w:rPr>
              <w:t>0</w:t>
            </w:r>
          </w:p>
        </w:tc>
        <w:tc>
          <w:tcPr>
            <w:tcW w:w="1358" w:type="dxa"/>
            <w:tcBorders>
              <w:top w:val="nil"/>
              <w:left w:val="nil"/>
              <w:bottom w:val="single" w:sz="4" w:space="0" w:color="auto"/>
              <w:right w:val="single" w:sz="4" w:space="0" w:color="auto"/>
            </w:tcBorders>
            <w:vAlign w:val="center"/>
          </w:tcPr>
          <w:p w:rsidR="005A227E" w:rsidRDefault="005A227E" w:rsidP="00A9624F">
            <w:pPr>
              <w:suppressAutoHyphens w:val="0"/>
              <w:jc w:val="center"/>
              <w:rPr>
                <w:sz w:val="24"/>
                <w:szCs w:val="24"/>
                <w:lang w:eastAsia="ru-RU"/>
              </w:rPr>
            </w:pPr>
            <w:r>
              <w:rPr>
                <w:sz w:val="24"/>
                <w:szCs w:val="24"/>
                <w:lang w:eastAsia="ru-RU"/>
              </w:rPr>
              <w:t>0</w:t>
            </w:r>
          </w:p>
        </w:tc>
        <w:tc>
          <w:tcPr>
            <w:tcW w:w="1276" w:type="dxa"/>
            <w:tcBorders>
              <w:top w:val="nil"/>
              <w:left w:val="nil"/>
              <w:bottom w:val="single" w:sz="4" w:space="0" w:color="auto"/>
              <w:right w:val="single" w:sz="4" w:space="0" w:color="auto"/>
            </w:tcBorders>
            <w:vAlign w:val="center"/>
          </w:tcPr>
          <w:p w:rsidR="005A227E" w:rsidRDefault="005A227E" w:rsidP="00A9624F">
            <w:pPr>
              <w:suppressAutoHyphens w:val="0"/>
              <w:jc w:val="center"/>
              <w:rPr>
                <w:sz w:val="24"/>
                <w:szCs w:val="24"/>
                <w:lang w:eastAsia="ru-RU"/>
              </w:rPr>
            </w:pPr>
            <w:r>
              <w:rPr>
                <w:sz w:val="24"/>
                <w:szCs w:val="24"/>
                <w:lang w:eastAsia="ru-RU"/>
              </w:rPr>
              <w:t>0</w:t>
            </w:r>
          </w:p>
        </w:tc>
      </w:tr>
      <w:tr w:rsidR="005A227E" w:rsidRPr="00907F0B" w:rsidTr="007A0B64">
        <w:trPr>
          <w:trHeight w:val="57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национальную безопасность и правоохранительную деятельность</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117</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121</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119</w:t>
            </w:r>
          </w:p>
        </w:tc>
      </w:tr>
      <w:tr w:rsidR="005A227E" w:rsidRPr="00907F0B" w:rsidTr="007A0B64">
        <w:trPr>
          <w:trHeight w:val="34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национальную экономику</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2 141</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2 213</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2 559</w:t>
            </w:r>
          </w:p>
        </w:tc>
      </w:tr>
      <w:tr w:rsidR="005A227E" w:rsidRPr="00907F0B" w:rsidTr="007A0B64">
        <w:trPr>
          <w:trHeight w:val="51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жилищно-коммунальное хозяйство</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908</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939</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957</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охрану окружающей среды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6</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6</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7</w:t>
            </w:r>
          </w:p>
        </w:tc>
      </w:tr>
      <w:tr w:rsidR="005A227E" w:rsidRPr="00907F0B" w:rsidTr="007A0B64">
        <w:trPr>
          <w:trHeight w:val="76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соц.-культ. мероприятия, финансируемые за счет средств всех уровней бюджетной системы РФ</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14 807</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15 245</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12 105</w:t>
            </w:r>
          </w:p>
        </w:tc>
      </w:tr>
      <w:tr w:rsidR="005A227E" w:rsidRPr="00907F0B" w:rsidTr="007A0B64">
        <w:trPr>
          <w:trHeight w:val="5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на обслуживание муниципального долга</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706</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706</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569</w:t>
            </w:r>
          </w:p>
        </w:tc>
      </w:tr>
      <w:tr w:rsidR="005A227E" w:rsidRPr="00907F0B" w:rsidTr="007A0B64">
        <w:trPr>
          <w:trHeight w:val="57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Расходы государственных внебюджетных фондов</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42 703</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42 882</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43 190</w:t>
            </w:r>
          </w:p>
        </w:tc>
      </w:tr>
      <w:tr w:rsidR="005A227E" w:rsidRPr="00907F0B" w:rsidTr="007A0B64">
        <w:trPr>
          <w:trHeight w:val="255"/>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Прочие расходы</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9 532</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9 624</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17 249</w:t>
            </w:r>
          </w:p>
        </w:tc>
      </w:tr>
      <w:tr w:rsidR="005A227E" w:rsidRPr="00907F0B" w:rsidTr="007A0B64">
        <w:trPr>
          <w:trHeight w:val="630"/>
        </w:trPr>
        <w:tc>
          <w:tcPr>
            <w:tcW w:w="3920" w:type="dxa"/>
            <w:tcBorders>
              <w:top w:val="nil"/>
              <w:left w:val="single" w:sz="4" w:space="0" w:color="auto"/>
              <w:bottom w:val="single" w:sz="4" w:space="0" w:color="auto"/>
              <w:right w:val="single" w:sz="4" w:space="0" w:color="auto"/>
            </w:tcBorders>
            <w:shd w:val="clear" w:color="000000" w:fill="FFFFFF"/>
            <w:vAlign w:val="center"/>
          </w:tcPr>
          <w:p w:rsidR="005A227E" w:rsidRPr="002546FC" w:rsidRDefault="005A227E" w:rsidP="00A9624F">
            <w:pPr>
              <w:suppressAutoHyphens w:val="0"/>
              <w:rPr>
                <w:sz w:val="24"/>
                <w:szCs w:val="24"/>
                <w:lang w:eastAsia="ru-RU"/>
              </w:rPr>
            </w:pPr>
            <w:r w:rsidRPr="002546FC">
              <w:rPr>
                <w:sz w:val="24"/>
                <w:szCs w:val="24"/>
                <w:lang w:eastAsia="ru-RU"/>
              </w:rPr>
              <w:t>Превышение доходов над расходами (+)   или расходов над доходами (-)</w:t>
            </w:r>
          </w:p>
        </w:tc>
        <w:tc>
          <w:tcPr>
            <w:tcW w:w="1460"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sidRPr="002546FC">
              <w:rPr>
                <w:sz w:val="24"/>
                <w:szCs w:val="24"/>
                <w:lang w:eastAsia="ru-RU"/>
              </w:rPr>
              <w:t>млн.руб.</w:t>
            </w:r>
          </w:p>
        </w:tc>
        <w:tc>
          <w:tcPr>
            <w:tcW w:w="1357"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-965</w:t>
            </w:r>
          </w:p>
        </w:tc>
        <w:tc>
          <w:tcPr>
            <w:tcW w:w="1358"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-950</w:t>
            </w:r>
          </w:p>
        </w:tc>
        <w:tc>
          <w:tcPr>
            <w:tcW w:w="1276" w:type="dxa"/>
            <w:tcBorders>
              <w:top w:val="nil"/>
              <w:left w:val="nil"/>
              <w:bottom w:val="single" w:sz="4" w:space="0" w:color="auto"/>
              <w:right w:val="single" w:sz="4" w:space="0" w:color="auto"/>
            </w:tcBorders>
            <w:vAlign w:val="center"/>
          </w:tcPr>
          <w:p w:rsidR="005A227E" w:rsidRPr="002546FC" w:rsidRDefault="005A227E" w:rsidP="00A9624F">
            <w:pPr>
              <w:suppressAutoHyphens w:val="0"/>
              <w:jc w:val="center"/>
              <w:rPr>
                <w:sz w:val="24"/>
                <w:szCs w:val="24"/>
                <w:lang w:eastAsia="ru-RU"/>
              </w:rPr>
            </w:pPr>
            <w:r>
              <w:rPr>
                <w:sz w:val="24"/>
                <w:szCs w:val="24"/>
                <w:lang w:eastAsia="ru-RU"/>
              </w:rPr>
              <w:t>-778</w:t>
            </w:r>
          </w:p>
        </w:tc>
      </w:tr>
    </w:tbl>
    <w:p w:rsidR="00355505" w:rsidRDefault="00355505" w:rsidP="005A227E">
      <w:pPr>
        <w:widowControl w:val="0"/>
        <w:spacing w:line="276" w:lineRule="auto"/>
        <w:ind w:firstLine="709"/>
        <w:jc w:val="both"/>
        <w:rPr>
          <w:sz w:val="24"/>
          <w:szCs w:val="24"/>
        </w:rPr>
      </w:pPr>
    </w:p>
    <w:p w:rsidR="005A227E" w:rsidRDefault="005A227E" w:rsidP="005A227E">
      <w:pPr>
        <w:widowControl w:val="0"/>
        <w:spacing w:line="276" w:lineRule="auto"/>
        <w:ind w:firstLine="709"/>
        <w:jc w:val="both"/>
        <w:rPr>
          <w:sz w:val="24"/>
          <w:szCs w:val="24"/>
        </w:rPr>
      </w:pPr>
      <w:r w:rsidRPr="00371518">
        <w:rPr>
          <w:sz w:val="24"/>
          <w:szCs w:val="24"/>
        </w:rPr>
        <w:t>В связи с обязательностью размещения с 2016 года прогнозов социально-экономического развития на среднесрочный период в государственной автоматизированной системе «Управление», сопровождаемой Федеральным казначейством РФ, возникла необходимость исключения из СФБ данных, не подтвержденных документально в течение ряда лет и рассчитываемых методом индексации на индекс инфляции.</w:t>
      </w:r>
      <w:r>
        <w:rPr>
          <w:sz w:val="24"/>
          <w:szCs w:val="24"/>
        </w:rPr>
        <w:t xml:space="preserve"> </w:t>
      </w:r>
    </w:p>
    <w:p w:rsidR="005A227E" w:rsidRDefault="005A227E" w:rsidP="005A227E">
      <w:pPr>
        <w:widowControl w:val="0"/>
        <w:spacing w:line="276" w:lineRule="auto"/>
        <w:ind w:firstLine="709"/>
        <w:jc w:val="both"/>
        <w:rPr>
          <w:sz w:val="24"/>
          <w:szCs w:val="24"/>
        </w:rPr>
      </w:pPr>
      <w:r>
        <w:rPr>
          <w:sz w:val="24"/>
          <w:szCs w:val="24"/>
        </w:rPr>
        <w:t>К ним относятся данные о расходах федерального и областного бюджетов на обеспечение деятельности государственных</w:t>
      </w:r>
      <w:r w:rsidRPr="000F750F">
        <w:rPr>
          <w:sz w:val="24"/>
          <w:szCs w:val="24"/>
        </w:rPr>
        <w:t xml:space="preserve"> учреждений и территориальных подразделений органов федеральной власти, расположенных на территории городского округа (</w:t>
      </w:r>
      <w:r>
        <w:rPr>
          <w:sz w:val="24"/>
          <w:szCs w:val="24"/>
        </w:rPr>
        <w:t xml:space="preserve">направления расходов: «Общегосударственные расходы» - в части финансирования расходов финансовых, налоговых и контрольно-надзорных органов, «Национальная оборона» - в полном объеме, «Национальная безопасность и правоохранительная деятельность» - в полном объеме, «Охрана окружающей среды» - в части финансирования деятельности </w:t>
      </w:r>
      <w:r w:rsidRPr="00062D16">
        <w:rPr>
          <w:sz w:val="24"/>
          <w:szCs w:val="24"/>
        </w:rPr>
        <w:t>Тольяттинск</w:t>
      </w:r>
      <w:r>
        <w:rPr>
          <w:sz w:val="24"/>
          <w:szCs w:val="24"/>
        </w:rPr>
        <w:t>ой</w:t>
      </w:r>
      <w:r w:rsidRPr="00062D16">
        <w:rPr>
          <w:sz w:val="24"/>
          <w:szCs w:val="24"/>
        </w:rPr>
        <w:t xml:space="preserve"> специализированн</w:t>
      </w:r>
      <w:r>
        <w:rPr>
          <w:sz w:val="24"/>
          <w:szCs w:val="24"/>
        </w:rPr>
        <w:t>ой</w:t>
      </w:r>
      <w:r w:rsidRPr="00062D16">
        <w:rPr>
          <w:sz w:val="24"/>
          <w:szCs w:val="24"/>
        </w:rPr>
        <w:t xml:space="preserve"> гидрометеорологическ</w:t>
      </w:r>
      <w:r>
        <w:rPr>
          <w:sz w:val="24"/>
          <w:szCs w:val="24"/>
        </w:rPr>
        <w:t>ой</w:t>
      </w:r>
      <w:r w:rsidRPr="00062D16">
        <w:rPr>
          <w:sz w:val="24"/>
          <w:szCs w:val="24"/>
        </w:rPr>
        <w:t xml:space="preserve"> обсерватори</w:t>
      </w:r>
      <w:r>
        <w:rPr>
          <w:sz w:val="24"/>
          <w:szCs w:val="24"/>
        </w:rPr>
        <w:t>и</w:t>
      </w:r>
      <w:r w:rsidRPr="00062D16">
        <w:rPr>
          <w:sz w:val="24"/>
          <w:szCs w:val="24"/>
        </w:rPr>
        <w:t xml:space="preserve"> (СГМО) ФГБУ </w:t>
      </w:r>
      <w:r>
        <w:rPr>
          <w:sz w:val="24"/>
          <w:szCs w:val="24"/>
        </w:rPr>
        <w:t>«</w:t>
      </w:r>
      <w:r w:rsidRPr="00062D16">
        <w:rPr>
          <w:sz w:val="24"/>
          <w:szCs w:val="24"/>
        </w:rPr>
        <w:t>Приволжское УГМС</w:t>
      </w:r>
      <w:r>
        <w:rPr>
          <w:sz w:val="24"/>
          <w:szCs w:val="24"/>
        </w:rPr>
        <w:t>», «</w:t>
      </w:r>
      <w:r w:rsidRPr="00EB772E">
        <w:rPr>
          <w:sz w:val="24"/>
          <w:szCs w:val="24"/>
        </w:rPr>
        <w:t>Расходы на социально-культурные мероприятия, финансируемые за счет всех уровней бюджетной системы Российской Федерации</w:t>
      </w:r>
      <w:r>
        <w:rPr>
          <w:sz w:val="24"/>
          <w:szCs w:val="24"/>
        </w:rPr>
        <w:t xml:space="preserve">»: образование – в части финансирования филиалов ВУЗов, осуществляемых деятельность на территории городского округа; здравоохранение – финансирование деятельности ФМБА и диспансеров за счет средств федерального бюджета, государственных учреждений здравоохранения за счет средств областного бюджета (кроме финансирования, предусмотренного на 2016-2018 гг. на строительство в городском округе 2-х поликлиник), и т.д. </w:t>
      </w:r>
    </w:p>
    <w:p w:rsidR="005A227E" w:rsidRDefault="005A227E" w:rsidP="005A227E">
      <w:pPr>
        <w:widowControl w:val="0"/>
        <w:spacing w:line="276" w:lineRule="auto"/>
        <w:ind w:firstLine="709"/>
        <w:jc w:val="both"/>
        <w:rPr>
          <w:sz w:val="24"/>
          <w:szCs w:val="24"/>
        </w:rPr>
      </w:pPr>
      <w:r>
        <w:rPr>
          <w:sz w:val="24"/>
          <w:szCs w:val="24"/>
        </w:rPr>
        <w:t xml:space="preserve">Необходимость изменения оценочных значений показателей на 2017 год по сравнению с прогнозными значениями показателей на 2017 год (рассчитаны в 2016 году по данным за январь-июнь), обусловлена, в основном, фактическими данными за 2016 год и </w:t>
      </w:r>
      <w:r>
        <w:rPr>
          <w:sz w:val="24"/>
          <w:szCs w:val="24"/>
          <w:lang w:val="en-US"/>
        </w:rPr>
        <w:t>I</w:t>
      </w:r>
      <w:r>
        <w:rPr>
          <w:sz w:val="24"/>
          <w:szCs w:val="24"/>
        </w:rPr>
        <w:t xml:space="preserve"> полугодие 2017 года, в том числе с отклонением более 15 %:</w:t>
      </w:r>
    </w:p>
    <w:p w:rsidR="005A227E" w:rsidRDefault="005A227E" w:rsidP="005A227E">
      <w:pPr>
        <w:widowControl w:val="0"/>
        <w:spacing w:line="276" w:lineRule="auto"/>
        <w:ind w:firstLine="709"/>
        <w:jc w:val="both"/>
        <w:rPr>
          <w:sz w:val="24"/>
          <w:szCs w:val="24"/>
        </w:rPr>
      </w:pPr>
      <w:r>
        <w:rPr>
          <w:sz w:val="24"/>
          <w:szCs w:val="24"/>
        </w:rPr>
        <w:t>- строка «Прибыль прибыльных организаций» (- 5 477 млн. руб.; - 22 %) – согласно сложившемуся за январь-июнь 2017 года приросту прибыли прибыльных организаций химического производства (+ 1,4 %) и других организаций городского округа (+ 38,9 %)</w:t>
      </w:r>
      <w:r>
        <w:rPr>
          <w:rStyle w:val="affc"/>
          <w:sz w:val="24"/>
          <w:szCs w:val="24"/>
        </w:rPr>
        <w:footnoteReference w:id="8"/>
      </w:r>
      <w:r>
        <w:rPr>
          <w:sz w:val="24"/>
          <w:szCs w:val="24"/>
        </w:rPr>
        <w:t>; в 2016 году ожидался более высокий рост прибыли химических производств;</w:t>
      </w:r>
    </w:p>
    <w:p w:rsidR="005A227E" w:rsidRDefault="005A227E" w:rsidP="005A227E">
      <w:pPr>
        <w:widowControl w:val="0"/>
        <w:spacing w:line="276" w:lineRule="auto"/>
        <w:ind w:firstLine="709"/>
        <w:jc w:val="both"/>
        <w:rPr>
          <w:sz w:val="24"/>
          <w:szCs w:val="24"/>
        </w:rPr>
      </w:pPr>
      <w:r>
        <w:rPr>
          <w:sz w:val="24"/>
          <w:szCs w:val="24"/>
        </w:rPr>
        <w:t>- строка «Амортизационные отчисления» (+ 4 </w:t>
      </w:r>
      <w:r w:rsidR="00FD0E72">
        <w:rPr>
          <w:sz w:val="24"/>
          <w:szCs w:val="24"/>
        </w:rPr>
        <w:t>291</w:t>
      </w:r>
      <w:r>
        <w:rPr>
          <w:sz w:val="24"/>
          <w:szCs w:val="24"/>
        </w:rPr>
        <w:t xml:space="preserve"> млн. руб.; + </w:t>
      </w:r>
      <w:r w:rsidR="00FD0E72">
        <w:rPr>
          <w:sz w:val="24"/>
          <w:szCs w:val="24"/>
        </w:rPr>
        <w:t>26</w:t>
      </w:r>
      <w:r>
        <w:rPr>
          <w:sz w:val="24"/>
          <w:szCs w:val="24"/>
        </w:rPr>
        <w:t xml:space="preserve"> %) согласно росту за 2016 год на 10 %;</w:t>
      </w:r>
    </w:p>
    <w:p w:rsidR="005A227E" w:rsidRDefault="005A227E" w:rsidP="005A227E">
      <w:pPr>
        <w:pStyle w:val="af1"/>
        <w:spacing w:line="276" w:lineRule="auto"/>
        <w:ind w:firstLine="709"/>
        <w:rPr>
          <w:szCs w:val="24"/>
        </w:rPr>
      </w:pPr>
      <w:r>
        <w:rPr>
          <w:szCs w:val="24"/>
        </w:rPr>
        <w:t xml:space="preserve"> - строка «Прочие доходы» (+ 7 </w:t>
      </w:r>
      <w:r w:rsidR="00FD0E72">
        <w:rPr>
          <w:szCs w:val="24"/>
        </w:rPr>
        <w:t>159</w:t>
      </w:r>
      <w:r>
        <w:rPr>
          <w:szCs w:val="24"/>
        </w:rPr>
        <w:t xml:space="preserve"> млн. руб.; + </w:t>
      </w:r>
      <w:r w:rsidR="00FD0E72">
        <w:rPr>
          <w:szCs w:val="24"/>
        </w:rPr>
        <w:t>71,1</w:t>
      </w:r>
      <w:r>
        <w:rPr>
          <w:szCs w:val="24"/>
        </w:rPr>
        <w:t xml:space="preserve"> %) – корректировка по фактическим данным о полугодовом росте утилизационного сбора за колесные транспортные средства в связи с повышением ставок сбора;</w:t>
      </w:r>
    </w:p>
    <w:p w:rsidR="005A227E" w:rsidRDefault="005A227E" w:rsidP="005A227E">
      <w:pPr>
        <w:pStyle w:val="af1"/>
        <w:spacing w:line="276" w:lineRule="auto"/>
        <w:ind w:firstLine="709"/>
        <w:rPr>
          <w:szCs w:val="24"/>
        </w:rPr>
      </w:pPr>
      <w:r>
        <w:rPr>
          <w:szCs w:val="24"/>
        </w:rPr>
        <w:t xml:space="preserve">- строка «Расходы на национальную экономику» (+ </w:t>
      </w:r>
      <w:r w:rsidR="00FD0E72">
        <w:rPr>
          <w:szCs w:val="24"/>
        </w:rPr>
        <w:t>346</w:t>
      </w:r>
      <w:r>
        <w:rPr>
          <w:szCs w:val="24"/>
        </w:rPr>
        <w:t xml:space="preserve"> млн. руб.; + </w:t>
      </w:r>
      <w:r w:rsidR="00FD0E72">
        <w:rPr>
          <w:szCs w:val="24"/>
        </w:rPr>
        <w:t>15,6</w:t>
      </w:r>
      <w:r>
        <w:rPr>
          <w:szCs w:val="24"/>
        </w:rPr>
        <w:t xml:space="preserve"> %) - корректировка с учетом финансирования из вышестоящих бюджетов на дорожное хозяйство в 2017 году;</w:t>
      </w:r>
    </w:p>
    <w:p w:rsidR="005A227E" w:rsidRDefault="005A227E" w:rsidP="005A227E">
      <w:pPr>
        <w:pStyle w:val="af1"/>
        <w:spacing w:line="276" w:lineRule="auto"/>
        <w:ind w:firstLine="709"/>
        <w:rPr>
          <w:szCs w:val="24"/>
        </w:rPr>
      </w:pPr>
      <w:r>
        <w:rPr>
          <w:szCs w:val="24"/>
        </w:rPr>
        <w:t>- строка «Расходы на охрану окружающей среды» (+ 1 млн. руб.; + 16,7 %) - корректировка в связи с внесением изменений в бюджет на 2017 год;</w:t>
      </w:r>
    </w:p>
    <w:p w:rsidR="005A227E" w:rsidRDefault="005A227E" w:rsidP="005A227E">
      <w:pPr>
        <w:pStyle w:val="af1"/>
        <w:spacing w:line="276" w:lineRule="auto"/>
        <w:ind w:firstLine="709"/>
        <w:rPr>
          <w:szCs w:val="24"/>
        </w:rPr>
      </w:pPr>
      <w:r>
        <w:rPr>
          <w:szCs w:val="24"/>
        </w:rPr>
        <w:t xml:space="preserve">- строка «Расходы на социально-культурные мероприятия, финансируемые за счет средств всех уровней бюджетной системы РФ» (- 2 702 млн. руб.; -18,2 %) – за счет исключения из расчета СФБ данных о финансировании из областного и федерального бюджетов государственных учреждений, не подтвержденных документально за 2016 год и </w:t>
      </w:r>
      <w:r>
        <w:rPr>
          <w:szCs w:val="24"/>
          <w:lang w:val="en-US"/>
        </w:rPr>
        <w:t>I</w:t>
      </w:r>
      <w:r w:rsidRPr="00F2536D">
        <w:rPr>
          <w:szCs w:val="24"/>
        </w:rPr>
        <w:t xml:space="preserve"> </w:t>
      </w:r>
      <w:r>
        <w:rPr>
          <w:szCs w:val="24"/>
        </w:rPr>
        <w:t>полугодие 2017 года;</w:t>
      </w:r>
    </w:p>
    <w:p w:rsidR="005A227E" w:rsidRDefault="005A227E" w:rsidP="005A227E">
      <w:pPr>
        <w:pStyle w:val="af1"/>
        <w:spacing w:line="276" w:lineRule="auto"/>
        <w:ind w:firstLine="709"/>
        <w:rPr>
          <w:szCs w:val="24"/>
        </w:rPr>
      </w:pPr>
      <w:r>
        <w:rPr>
          <w:szCs w:val="24"/>
        </w:rPr>
        <w:t>- строка «Прочие расходы» (+ 7 </w:t>
      </w:r>
      <w:r w:rsidR="00FD0E72">
        <w:rPr>
          <w:szCs w:val="24"/>
        </w:rPr>
        <w:t>625</w:t>
      </w:r>
      <w:r>
        <w:rPr>
          <w:szCs w:val="24"/>
        </w:rPr>
        <w:t xml:space="preserve"> млн. руб.; + </w:t>
      </w:r>
      <w:r w:rsidR="00FD0E72">
        <w:rPr>
          <w:szCs w:val="24"/>
        </w:rPr>
        <w:t>79,2</w:t>
      </w:r>
      <w:r>
        <w:rPr>
          <w:szCs w:val="24"/>
        </w:rPr>
        <w:t xml:space="preserve"> %) - корректировка по фактическим данным о полугодовом росте утилизационного сбора за колесные транспортные средства, поступления которого отражаются в доходной и расходной части СФБ согласно методике его расчета.</w:t>
      </w:r>
    </w:p>
    <w:p w:rsidR="005A227E" w:rsidRDefault="005A227E" w:rsidP="005A227E">
      <w:pPr>
        <w:widowControl w:val="0"/>
        <w:spacing w:line="276" w:lineRule="auto"/>
        <w:ind w:firstLine="709"/>
        <w:jc w:val="both"/>
        <w:rPr>
          <w:sz w:val="24"/>
          <w:szCs w:val="24"/>
        </w:rPr>
      </w:pPr>
      <w:r>
        <w:rPr>
          <w:sz w:val="24"/>
          <w:szCs w:val="24"/>
        </w:rPr>
        <w:t xml:space="preserve">Соответственно, корректируются расчетные итоговые данные, из них более чем на 15 %: строка «Сальдо финансовых взаимоотношений с вышестоящими уровнями власти» </w:t>
      </w:r>
      <w:r w:rsidRPr="000A5B43">
        <w:rPr>
          <w:sz w:val="24"/>
          <w:szCs w:val="24"/>
        </w:rPr>
        <w:t>(</w:t>
      </w:r>
      <w:r w:rsidRPr="000A5B43">
        <w:rPr>
          <w:sz w:val="24"/>
          <w:szCs w:val="24"/>
        </w:rPr>
        <w:noBreakHyphen/>
        <w:t xml:space="preserve"> </w:t>
      </w:r>
      <w:r w:rsidR="000A5B43" w:rsidRPr="000A5B43">
        <w:rPr>
          <w:sz w:val="24"/>
          <w:szCs w:val="24"/>
        </w:rPr>
        <w:t>3 102</w:t>
      </w:r>
      <w:r w:rsidRPr="000A5B43">
        <w:rPr>
          <w:sz w:val="24"/>
          <w:szCs w:val="24"/>
        </w:rPr>
        <w:t xml:space="preserve"> млн. руб.; - </w:t>
      </w:r>
      <w:r w:rsidR="000A5B43" w:rsidRPr="000A5B43">
        <w:rPr>
          <w:sz w:val="24"/>
          <w:szCs w:val="24"/>
        </w:rPr>
        <w:t>27,5</w:t>
      </w:r>
      <w:r w:rsidRPr="000A5B43">
        <w:rPr>
          <w:sz w:val="24"/>
          <w:szCs w:val="24"/>
        </w:rPr>
        <w:t xml:space="preserve"> %); строка «Превышение расходов над доходами</w:t>
      </w:r>
      <w:r w:rsidR="000A5B43" w:rsidRPr="000A5B43">
        <w:rPr>
          <w:sz w:val="24"/>
          <w:szCs w:val="24"/>
        </w:rPr>
        <w:t xml:space="preserve"> (-)</w:t>
      </w:r>
      <w:r w:rsidRPr="000A5B43">
        <w:rPr>
          <w:sz w:val="24"/>
          <w:szCs w:val="24"/>
        </w:rPr>
        <w:t>» (дефицит) (+1</w:t>
      </w:r>
      <w:r w:rsidR="000A5B43" w:rsidRPr="000A5B43">
        <w:rPr>
          <w:sz w:val="24"/>
          <w:szCs w:val="24"/>
        </w:rPr>
        <w:t>87</w:t>
      </w:r>
      <w:r w:rsidRPr="000A5B43">
        <w:rPr>
          <w:sz w:val="24"/>
          <w:szCs w:val="24"/>
        </w:rPr>
        <w:t xml:space="preserve"> млн. руб.; -1</w:t>
      </w:r>
      <w:r w:rsidR="000A5B43" w:rsidRPr="000A5B43">
        <w:rPr>
          <w:sz w:val="24"/>
          <w:szCs w:val="24"/>
        </w:rPr>
        <w:t>9,4</w:t>
      </w:r>
      <w:r w:rsidRPr="000A5B43">
        <w:rPr>
          <w:sz w:val="24"/>
          <w:szCs w:val="24"/>
        </w:rPr>
        <w:t xml:space="preserve"> %).</w:t>
      </w:r>
    </w:p>
    <w:p w:rsidR="00B347E3" w:rsidRDefault="00B347E3" w:rsidP="00692B35">
      <w:pPr>
        <w:pStyle w:val="aff1"/>
        <w:spacing w:line="276" w:lineRule="auto"/>
        <w:jc w:val="center"/>
        <w:rPr>
          <w:b/>
          <w:sz w:val="24"/>
          <w:szCs w:val="24"/>
        </w:rPr>
      </w:pPr>
    </w:p>
    <w:p w:rsidR="00A50BA4" w:rsidRPr="00A65FD4" w:rsidRDefault="00A50BA4" w:rsidP="00692B35">
      <w:pPr>
        <w:pStyle w:val="aff1"/>
        <w:spacing w:line="276" w:lineRule="auto"/>
        <w:jc w:val="center"/>
        <w:rPr>
          <w:b/>
          <w:sz w:val="24"/>
          <w:szCs w:val="24"/>
        </w:rPr>
      </w:pPr>
      <w:r w:rsidRPr="00A65FD4">
        <w:rPr>
          <w:b/>
          <w:sz w:val="24"/>
          <w:szCs w:val="24"/>
        </w:rPr>
        <w:t>Демография и занятость населения</w:t>
      </w:r>
    </w:p>
    <w:p w:rsidR="00A50BA4" w:rsidRPr="005A34F1" w:rsidRDefault="00A50BA4" w:rsidP="00692B35">
      <w:pPr>
        <w:pStyle w:val="aff1"/>
        <w:spacing w:line="276" w:lineRule="auto"/>
        <w:jc w:val="center"/>
        <w:rPr>
          <w:b/>
          <w:sz w:val="24"/>
          <w:szCs w:val="24"/>
          <w:highlight w:val="yellow"/>
        </w:rPr>
      </w:pPr>
    </w:p>
    <w:p w:rsidR="00A65FD4" w:rsidRPr="00E3435E" w:rsidRDefault="00A65FD4" w:rsidP="00A65FD4">
      <w:pPr>
        <w:pStyle w:val="aff1"/>
        <w:spacing w:line="276" w:lineRule="auto"/>
        <w:rPr>
          <w:sz w:val="24"/>
          <w:szCs w:val="24"/>
        </w:rPr>
      </w:pPr>
      <w:r w:rsidRPr="00640BF8">
        <w:rPr>
          <w:sz w:val="24"/>
          <w:szCs w:val="24"/>
        </w:rPr>
        <w:t>На 01.07.201</w:t>
      </w:r>
      <w:r>
        <w:rPr>
          <w:sz w:val="24"/>
          <w:szCs w:val="24"/>
        </w:rPr>
        <w:t>7</w:t>
      </w:r>
      <w:r w:rsidRPr="00640BF8">
        <w:rPr>
          <w:sz w:val="24"/>
          <w:szCs w:val="24"/>
        </w:rPr>
        <w:t xml:space="preserve"> г. </w:t>
      </w:r>
      <w:r w:rsidRPr="00640BF8">
        <w:rPr>
          <w:b/>
          <w:sz w:val="24"/>
          <w:szCs w:val="24"/>
        </w:rPr>
        <w:t>численность постоянного населения</w:t>
      </w:r>
      <w:r w:rsidRPr="00640BF8">
        <w:rPr>
          <w:sz w:val="24"/>
          <w:szCs w:val="24"/>
        </w:rPr>
        <w:t xml:space="preserve"> городского округа Тольятти сократилась на </w:t>
      </w:r>
      <w:r>
        <w:rPr>
          <w:sz w:val="24"/>
          <w:szCs w:val="24"/>
        </w:rPr>
        <w:t>1,5</w:t>
      </w:r>
      <w:r w:rsidRPr="00640BF8">
        <w:rPr>
          <w:sz w:val="24"/>
          <w:szCs w:val="24"/>
        </w:rPr>
        <w:t xml:space="preserve"> тыс. чел. (на 01.01.201</w:t>
      </w:r>
      <w:r>
        <w:rPr>
          <w:sz w:val="24"/>
          <w:szCs w:val="24"/>
        </w:rPr>
        <w:t>7</w:t>
      </w:r>
      <w:r w:rsidRPr="00640BF8">
        <w:rPr>
          <w:sz w:val="24"/>
          <w:szCs w:val="24"/>
        </w:rPr>
        <w:t xml:space="preserve"> г.- 71</w:t>
      </w:r>
      <w:r>
        <w:rPr>
          <w:sz w:val="24"/>
          <w:szCs w:val="24"/>
        </w:rPr>
        <w:t>0</w:t>
      </w:r>
      <w:r w:rsidRPr="00640BF8">
        <w:rPr>
          <w:sz w:val="24"/>
          <w:szCs w:val="24"/>
        </w:rPr>
        <w:t>,6 тыс. чел.) и составила 7</w:t>
      </w:r>
      <w:r>
        <w:rPr>
          <w:sz w:val="24"/>
          <w:szCs w:val="24"/>
        </w:rPr>
        <w:t>09,1</w:t>
      </w:r>
      <w:r w:rsidRPr="00640BF8">
        <w:rPr>
          <w:sz w:val="24"/>
          <w:szCs w:val="24"/>
        </w:rPr>
        <w:t xml:space="preserve"> тыс. чел. </w:t>
      </w:r>
      <w:r w:rsidRPr="00E3435E">
        <w:rPr>
          <w:sz w:val="24"/>
          <w:szCs w:val="24"/>
        </w:rPr>
        <w:t>Убыль населения отмечена в</w:t>
      </w:r>
      <w:r>
        <w:rPr>
          <w:sz w:val="24"/>
          <w:szCs w:val="24"/>
        </w:rPr>
        <w:t>о всех районах</w:t>
      </w:r>
      <w:r w:rsidRPr="00E3435E">
        <w:rPr>
          <w:sz w:val="24"/>
          <w:szCs w:val="24"/>
        </w:rPr>
        <w:t xml:space="preserve"> </w:t>
      </w:r>
      <w:r>
        <w:rPr>
          <w:sz w:val="24"/>
          <w:szCs w:val="24"/>
        </w:rPr>
        <w:t xml:space="preserve">городского округа: в </w:t>
      </w:r>
      <w:r w:rsidRPr="00E3435E">
        <w:rPr>
          <w:sz w:val="24"/>
          <w:szCs w:val="24"/>
        </w:rPr>
        <w:t>Автозаводском</w:t>
      </w:r>
      <w:r>
        <w:rPr>
          <w:sz w:val="24"/>
          <w:szCs w:val="24"/>
        </w:rPr>
        <w:t xml:space="preserve"> (- 730</w:t>
      </w:r>
      <w:r w:rsidRPr="00E3435E">
        <w:rPr>
          <w:sz w:val="24"/>
          <w:szCs w:val="24"/>
        </w:rPr>
        <w:t xml:space="preserve"> чел.</w:t>
      </w:r>
      <w:r>
        <w:rPr>
          <w:sz w:val="24"/>
          <w:szCs w:val="24"/>
        </w:rPr>
        <w:t xml:space="preserve">), в </w:t>
      </w:r>
      <w:r w:rsidRPr="00E3435E">
        <w:rPr>
          <w:sz w:val="24"/>
          <w:szCs w:val="24"/>
        </w:rPr>
        <w:t xml:space="preserve">Комсомольском </w:t>
      </w:r>
      <w:r>
        <w:rPr>
          <w:sz w:val="24"/>
          <w:szCs w:val="24"/>
        </w:rPr>
        <w:t>(-</w:t>
      </w:r>
      <w:r w:rsidRPr="00E3435E">
        <w:rPr>
          <w:sz w:val="24"/>
          <w:szCs w:val="24"/>
        </w:rPr>
        <w:t xml:space="preserve"> </w:t>
      </w:r>
      <w:r>
        <w:rPr>
          <w:sz w:val="24"/>
          <w:szCs w:val="24"/>
        </w:rPr>
        <w:t>227</w:t>
      </w:r>
      <w:r w:rsidRPr="00E3435E">
        <w:rPr>
          <w:sz w:val="24"/>
          <w:szCs w:val="24"/>
        </w:rPr>
        <w:t xml:space="preserve"> чел.</w:t>
      </w:r>
      <w:r>
        <w:rPr>
          <w:sz w:val="24"/>
          <w:szCs w:val="24"/>
        </w:rPr>
        <w:t>)</w:t>
      </w:r>
      <w:r w:rsidRPr="00E3435E">
        <w:rPr>
          <w:sz w:val="24"/>
          <w:szCs w:val="24"/>
        </w:rPr>
        <w:t xml:space="preserve">, в Центральном </w:t>
      </w:r>
      <w:r>
        <w:rPr>
          <w:sz w:val="24"/>
          <w:szCs w:val="24"/>
        </w:rPr>
        <w:t>(-517 чел.)</w:t>
      </w:r>
      <w:r w:rsidRPr="00E3435E">
        <w:rPr>
          <w:sz w:val="24"/>
          <w:szCs w:val="24"/>
        </w:rPr>
        <w:t xml:space="preserve">. </w:t>
      </w:r>
    </w:p>
    <w:p w:rsidR="00683D33" w:rsidRDefault="00A65FD4" w:rsidP="00683D33">
      <w:pPr>
        <w:pStyle w:val="aff6"/>
        <w:spacing w:line="276" w:lineRule="auto"/>
        <w:ind w:firstLine="709"/>
        <w:jc w:val="both"/>
        <w:rPr>
          <w:b w:val="0"/>
          <w:bCs/>
        </w:rPr>
      </w:pPr>
      <w:r w:rsidRPr="008E59AA">
        <w:rPr>
          <w:b w:val="0"/>
          <w:szCs w:val="24"/>
        </w:rPr>
        <w:t xml:space="preserve">В течение 1 полугодия 2017 года в городском округе Тольятти родилось 3,6 тыс. чел., что на 804 чел. (18,3 %) меньше, чем за период прошлого года. Коэффициент рождаемости составил 10,2 промилле, против 12,4 промилле в 1 полугодии 2016 года. </w:t>
      </w:r>
    </w:p>
    <w:p w:rsidR="00A65FD4" w:rsidRDefault="00A65FD4" w:rsidP="00A65FD4">
      <w:pPr>
        <w:pStyle w:val="aff1"/>
        <w:spacing w:line="276" w:lineRule="auto"/>
        <w:rPr>
          <w:sz w:val="24"/>
          <w:szCs w:val="24"/>
        </w:rPr>
      </w:pPr>
      <w:r w:rsidRPr="00E3435E">
        <w:rPr>
          <w:sz w:val="24"/>
          <w:szCs w:val="24"/>
        </w:rPr>
        <w:t>Число умерших относительно аналогичного показателя прошлого года у</w:t>
      </w:r>
      <w:r>
        <w:rPr>
          <w:sz w:val="24"/>
          <w:szCs w:val="24"/>
        </w:rPr>
        <w:t>меньшилось</w:t>
      </w:r>
      <w:r w:rsidRPr="00E3435E">
        <w:rPr>
          <w:sz w:val="24"/>
          <w:szCs w:val="24"/>
        </w:rPr>
        <w:t xml:space="preserve"> на </w:t>
      </w:r>
      <w:r>
        <w:rPr>
          <w:sz w:val="24"/>
          <w:szCs w:val="24"/>
        </w:rPr>
        <w:t xml:space="preserve">107 </w:t>
      </w:r>
      <w:r w:rsidRPr="00E3435E">
        <w:rPr>
          <w:sz w:val="24"/>
          <w:szCs w:val="24"/>
        </w:rPr>
        <w:t>чел. (</w:t>
      </w:r>
      <w:r>
        <w:rPr>
          <w:sz w:val="24"/>
          <w:szCs w:val="24"/>
        </w:rPr>
        <w:t>2,5</w:t>
      </w:r>
      <w:r w:rsidRPr="00E3435E">
        <w:rPr>
          <w:sz w:val="24"/>
          <w:szCs w:val="24"/>
        </w:rPr>
        <w:t xml:space="preserve"> %) и составило </w:t>
      </w:r>
      <w:r>
        <w:rPr>
          <w:sz w:val="24"/>
          <w:szCs w:val="24"/>
        </w:rPr>
        <w:t>4,2</w:t>
      </w:r>
      <w:r w:rsidRPr="00E3435E">
        <w:rPr>
          <w:sz w:val="24"/>
          <w:szCs w:val="24"/>
        </w:rPr>
        <w:t xml:space="preserve"> тыс. чел. Коэффициент смертности составил 1</w:t>
      </w:r>
      <w:r>
        <w:rPr>
          <w:sz w:val="24"/>
          <w:szCs w:val="24"/>
        </w:rPr>
        <w:t>1,8</w:t>
      </w:r>
      <w:r w:rsidRPr="00E3435E">
        <w:rPr>
          <w:sz w:val="24"/>
          <w:szCs w:val="24"/>
        </w:rPr>
        <w:t xml:space="preserve"> промилле, против 1</w:t>
      </w:r>
      <w:r>
        <w:rPr>
          <w:sz w:val="24"/>
          <w:szCs w:val="24"/>
        </w:rPr>
        <w:t>2,0</w:t>
      </w:r>
      <w:r w:rsidRPr="00E3435E">
        <w:rPr>
          <w:sz w:val="24"/>
          <w:szCs w:val="24"/>
        </w:rPr>
        <w:t xml:space="preserve"> промилле в </w:t>
      </w:r>
      <w:r>
        <w:rPr>
          <w:sz w:val="24"/>
          <w:szCs w:val="24"/>
        </w:rPr>
        <w:t xml:space="preserve">1 полугодии </w:t>
      </w:r>
      <w:r w:rsidRPr="00E3435E">
        <w:rPr>
          <w:sz w:val="24"/>
          <w:szCs w:val="24"/>
        </w:rPr>
        <w:t>201</w:t>
      </w:r>
      <w:r>
        <w:rPr>
          <w:sz w:val="24"/>
          <w:szCs w:val="24"/>
        </w:rPr>
        <w:t>6</w:t>
      </w:r>
      <w:r w:rsidRPr="00E3435E">
        <w:rPr>
          <w:sz w:val="24"/>
          <w:szCs w:val="24"/>
        </w:rPr>
        <w:t xml:space="preserve"> год</w:t>
      </w:r>
      <w:r>
        <w:rPr>
          <w:sz w:val="24"/>
          <w:szCs w:val="24"/>
        </w:rPr>
        <w:t>а</w:t>
      </w:r>
      <w:r w:rsidRPr="00E3435E">
        <w:rPr>
          <w:sz w:val="24"/>
          <w:szCs w:val="24"/>
        </w:rPr>
        <w:t>.</w:t>
      </w:r>
    </w:p>
    <w:p w:rsidR="00B347E3" w:rsidRDefault="00B347E3" w:rsidP="00A65FD4">
      <w:pPr>
        <w:spacing w:line="276" w:lineRule="auto"/>
        <w:ind w:firstLine="709"/>
        <w:jc w:val="both"/>
        <w:rPr>
          <w:sz w:val="24"/>
          <w:szCs w:val="24"/>
        </w:rPr>
      </w:pPr>
    </w:p>
    <w:p w:rsidR="00A65FD4" w:rsidRDefault="00A65FD4" w:rsidP="00A65FD4">
      <w:pPr>
        <w:spacing w:line="276" w:lineRule="auto"/>
        <w:ind w:firstLine="709"/>
        <w:jc w:val="both"/>
        <w:rPr>
          <w:sz w:val="24"/>
          <w:szCs w:val="24"/>
        </w:rPr>
      </w:pPr>
      <w:r w:rsidRPr="00640BF8">
        <w:rPr>
          <w:sz w:val="24"/>
          <w:szCs w:val="24"/>
        </w:rPr>
        <w:t>Общая характеристика воспроизводства населения городского округа Тольятти приведена в таблице: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134"/>
        <w:gridCol w:w="1276"/>
        <w:gridCol w:w="1417"/>
        <w:gridCol w:w="1134"/>
        <w:gridCol w:w="1134"/>
        <w:gridCol w:w="1134"/>
      </w:tblGrid>
      <w:tr w:rsidR="00B347E3" w:rsidRPr="00E3435E" w:rsidTr="00B347E3">
        <w:trPr>
          <w:cantSplit/>
          <w:trHeight w:val="482"/>
        </w:trPr>
        <w:tc>
          <w:tcPr>
            <w:tcW w:w="2410" w:type="dxa"/>
            <w:vMerge w:val="restart"/>
            <w:tcBorders>
              <w:top w:val="single" w:sz="4" w:space="0" w:color="auto"/>
              <w:right w:val="single" w:sz="4" w:space="0" w:color="auto"/>
            </w:tcBorders>
            <w:vAlign w:val="center"/>
          </w:tcPr>
          <w:p w:rsidR="00B347E3" w:rsidRPr="00E3435E" w:rsidRDefault="00B347E3" w:rsidP="00A65FD4">
            <w:pPr>
              <w:pStyle w:val="aff1"/>
              <w:keepNext/>
              <w:keepLines/>
              <w:spacing w:line="240" w:lineRule="auto"/>
              <w:ind w:hanging="108"/>
              <w:jc w:val="center"/>
              <w:rPr>
                <w:bCs/>
                <w:sz w:val="24"/>
                <w:szCs w:val="24"/>
              </w:rPr>
            </w:pPr>
            <w:r w:rsidRPr="00E3435E">
              <w:rPr>
                <w:bCs/>
                <w:sz w:val="24"/>
                <w:szCs w:val="24"/>
              </w:rPr>
              <w:t>Показатель</w:t>
            </w:r>
          </w:p>
          <w:p w:rsidR="00B347E3" w:rsidRPr="00E3435E" w:rsidRDefault="00B347E3" w:rsidP="00A65FD4">
            <w:pPr>
              <w:pStyle w:val="aff1"/>
              <w:keepNext/>
              <w:keepLines/>
              <w:spacing w:line="240" w:lineRule="auto"/>
              <w:jc w:val="center"/>
              <w:rPr>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347E3" w:rsidRPr="00E3435E" w:rsidRDefault="00B347E3" w:rsidP="00A65FD4">
            <w:pPr>
              <w:pStyle w:val="aff1"/>
              <w:keepNext/>
              <w:keepLines/>
              <w:spacing w:line="240" w:lineRule="auto"/>
              <w:ind w:firstLine="0"/>
              <w:jc w:val="center"/>
              <w:rPr>
                <w:bCs/>
                <w:sz w:val="24"/>
                <w:szCs w:val="24"/>
              </w:rPr>
            </w:pPr>
            <w:r w:rsidRPr="00E3435E">
              <w:rPr>
                <w:bCs/>
                <w:sz w:val="24"/>
                <w:szCs w:val="24"/>
              </w:rPr>
              <w:t>Январь-</w:t>
            </w:r>
            <w:r>
              <w:rPr>
                <w:bCs/>
                <w:sz w:val="24"/>
                <w:szCs w:val="24"/>
              </w:rPr>
              <w:t>июнь</w:t>
            </w:r>
            <w:r w:rsidRPr="00E3435E">
              <w:rPr>
                <w:bCs/>
                <w:sz w:val="24"/>
                <w:szCs w:val="24"/>
              </w:rPr>
              <w:t>,</w:t>
            </w:r>
          </w:p>
          <w:p w:rsidR="00B347E3" w:rsidRPr="00E3435E" w:rsidRDefault="00B347E3" w:rsidP="00A65FD4">
            <w:pPr>
              <w:pStyle w:val="aff1"/>
              <w:keepNext/>
              <w:keepLines/>
              <w:spacing w:line="240" w:lineRule="auto"/>
              <w:ind w:firstLine="0"/>
              <w:jc w:val="center"/>
              <w:rPr>
                <w:bCs/>
                <w:sz w:val="24"/>
                <w:szCs w:val="24"/>
              </w:rPr>
            </w:pPr>
            <w:r w:rsidRPr="00E3435E">
              <w:rPr>
                <w:bCs/>
                <w:sz w:val="24"/>
                <w:szCs w:val="24"/>
              </w:rPr>
              <w:t>чел.</w:t>
            </w:r>
          </w:p>
        </w:tc>
        <w:tc>
          <w:tcPr>
            <w:tcW w:w="1417" w:type="dxa"/>
            <w:vMerge w:val="restart"/>
            <w:tcBorders>
              <w:top w:val="single" w:sz="4" w:space="0" w:color="auto"/>
              <w:left w:val="single" w:sz="4" w:space="0" w:color="auto"/>
              <w:right w:val="single" w:sz="4" w:space="0" w:color="auto"/>
            </w:tcBorders>
            <w:vAlign w:val="center"/>
          </w:tcPr>
          <w:p w:rsidR="00B347E3" w:rsidRPr="00E3435E" w:rsidRDefault="00B347E3" w:rsidP="00A65FD4">
            <w:pPr>
              <w:pStyle w:val="aff1"/>
              <w:keepNext/>
              <w:keepLines/>
              <w:spacing w:line="240" w:lineRule="auto"/>
              <w:ind w:firstLine="0"/>
              <w:jc w:val="center"/>
              <w:rPr>
                <w:bCs/>
                <w:sz w:val="24"/>
                <w:szCs w:val="24"/>
              </w:rPr>
            </w:pPr>
            <w:r w:rsidRPr="00E3435E">
              <w:rPr>
                <w:bCs/>
                <w:sz w:val="24"/>
                <w:szCs w:val="24"/>
              </w:rPr>
              <w:t>Прирост (+), снижение</w:t>
            </w:r>
          </w:p>
          <w:p w:rsidR="00B347E3" w:rsidRPr="00E3435E" w:rsidRDefault="00B347E3" w:rsidP="00B347E3">
            <w:pPr>
              <w:pStyle w:val="aff1"/>
              <w:keepNext/>
              <w:keepLines/>
              <w:spacing w:line="240" w:lineRule="auto"/>
              <w:ind w:firstLine="0"/>
              <w:jc w:val="center"/>
              <w:rPr>
                <w:b/>
                <w:bCs/>
                <w:sz w:val="24"/>
                <w:szCs w:val="24"/>
              </w:rPr>
            </w:pPr>
            <w:r w:rsidRPr="00E3435E">
              <w:rPr>
                <w:bCs/>
                <w:sz w:val="24"/>
                <w:szCs w:val="24"/>
              </w:rPr>
              <w:t>(-) ,чел.</w:t>
            </w:r>
          </w:p>
        </w:tc>
        <w:tc>
          <w:tcPr>
            <w:tcW w:w="1134" w:type="dxa"/>
            <w:vMerge w:val="restart"/>
            <w:tcBorders>
              <w:top w:val="single" w:sz="4" w:space="0" w:color="auto"/>
              <w:left w:val="single" w:sz="4" w:space="0" w:color="auto"/>
              <w:right w:val="single" w:sz="4" w:space="0" w:color="auto"/>
            </w:tcBorders>
            <w:vAlign w:val="center"/>
          </w:tcPr>
          <w:p w:rsidR="00B347E3" w:rsidRPr="00E3435E" w:rsidRDefault="00B347E3" w:rsidP="00A65FD4">
            <w:pPr>
              <w:pStyle w:val="aff1"/>
              <w:keepNext/>
              <w:keepLines/>
              <w:spacing w:line="240" w:lineRule="auto"/>
              <w:ind w:firstLine="0"/>
              <w:jc w:val="center"/>
              <w:rPr>
                <w:bCs/>
                <w:sz w:val="24"/>
                <w:szCs w:val="24"/>
              </w:rPr>
            </w:pPr>
            <w:r w:rsidRPr="00E3435E">
              <w:rPr>
                <w:bCs/>
                <w:sz w:val="24"/>
                <w:szCs w:val="24"/>
              </w:rPr>
              <w:t>Темп роста, %</w:t>
            </w:r>
          </w:p>
        </w:tc>
        <w:tc>
          <w:tcPr>
            <w:tcW w:w="2268" w:type="dxa"/>
            <w:gridSpan w:val="2"/>
            <w:tcBorders>
              <w:top w:val="single" w:sz="4" w:space="0" w:color="auto"/>
              <w:left w:val="single" w:sz="4" w:space="0" w:color="auto"/>
              <w:bottom w:val="single" w:sz="4" w:space="0" w:color="auto"/>
            </w:tcBorders>
            <w:vAlign w:val="center"/>
          </w:tcPr>
          <w:p w:rsidR="00B347E3" w:rsidRPr="00E3435E" w:rsidRDefault="00B347E3" w:rsidP="00A65FD4">
            <w:pPr>
              <w:pStyle w:val="aff1"/>
              <w:keepNext/>
              <w:keepLines/>
              <w:spacing w:line="240" w:lineRule="auto"/>
              <w:ind w:firstLine="0"/>
              <w:jc w:val="center"/>
              <w:rPr>
                <w:b/>
                <w:bCs/>
                <w:sz w:val="24"/>
                <w:szCs w:val="24"/>
                <w:highlight w:val="yellow"/>
              </w:rPr>
            </w:pPr>
            <w:r w:rsidRPr="00E3435E">
              <w:rPr>
                <w:bCs/>
                <w:sz w:val="24"/>
                <w:szCs w:val="24"/>
              </w:rPr>
              <w:t xml:space="preserve">Январь - </w:t>
            </w:r>
            <w:r>
              <w:rPr>
                <w:bCs/>
                <w:sz w:val="24"/>
                <w:szCs w:val="24"/>
              </w:rPr>
              <w:t>июнь</w:t>
            </w:r>
            <w:r w:rsidRPr="00E3435E">
              <w:rPr>
                <w:bCs/>
                <w:sz w:val="24"/>
                <w:szCs w:val="24"/>
              </w:rPr>
              <w:t xml:space="preserve"> на </w:t>
            </w:r>
            <w:r w:rsidRPr="00E3435E">
              <w:rPr>
                <w:sz w:val="24"/>
                <w:szCs w:val="24"/>
              </w:rPr>
              <w:t>1000 населения</w:t>
            </w:r>
          </w:p>
        </w:tc>
      </w:tr>
      <w:tr w:rsidR="00B347E3" w:rsidRPr="00E3435E" w:rsidTr="00B347E3">
        <w:trPr>
          <w:cantSplit/>
          <w:trHeight w:val="561"/>
        </w:trPr>
        <w:tc>
          <w:tcPr>
            <w:tcW w:w="2410" w:type="dxa"/>
            <w:vMerge/>
            <w:tcBorders>
              <w:bottom w:val="single" w:sz="4" w:space="0" w:color="auto"/>
              <w:right w:val="single" w:sz="4" w:space="0" w:color="auto"/>
            </w:tcBorders>
            <w:vAlign w:val="center"/>
          </w:tcPr>
          <w:p w:rsidR="00B347E3" w:rsidRPr="00E3435E" w:rsidRDefault="00B347E3" w:rsidP="00A65FD4">
            <w:pPr>
              <w:pStyle w:val="aff1"/>
              <w:spacing w:line="276" w:lineRule="auto"/>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347E3" w:rsidRPr="00E3435E" w:rsidRDefault="00B347E3" w:rsidP="00A65FD4">
            <w:pPr>
              <w:pStyle w:val="aff1"/>
              <w:spacing w:line="276" w:lineRule="auto"/>
              <w:ind w:firstLine="0"/>
              <w:jc w:val="center"/>
              <w:rPr>
                <w:sz w:val="24"/>
                <w:szCs w:val="24"/>
                <w:highlight w:val="yellow"/>
              </w:rPr>
            </w:pPr>
            <w:r w:rsidRPr="00E3435E">
              <w:rPr>
                <w:sz w:val="24"/>
                <w:szCs w:val="24"/>
              </w:rPr>
              <w:t>201</w:t>
            </w:r>
            <w:r>
              <w:rPr>
                <w:sz w:val="24"/>
                <w:szCs w:val="24"/>
              </w:rPr>
              <w:t>6</w:t>
            </w:r>
            <w:r w:rsidRPr="00E3435E">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B347E3" w:rsidRPr="00E3435E" w:rsidRDefault="00B347E3" w:rsidP="00A65FD4">
            <w:pPr>
              <w:pStyle w:val="aff1"/>
              <w:spacing w:line="276" w:lineRule="auto"/>
              <w:ind w:firstLine="0"/>
              <w:jc w:val="center"/>
              <w:rPr>
                <w:sz w:val="24"/>
                <w:szCs w:val="24"/>
                <w:highlight w:val="yellow"/>
              </w:rPr>
            </w:pPr>
            <w:r w:rsidRPr="00E3435E">
              <w:rPr>
                <w:sz w:val="24"/>
                <w:szCs w:val="24"/>
              </w:rPr>
              <w:t>201</w:t>
            </w:r>
            <w:r>
              <w:rPr>
                <w:sz w:val="24"/>
                <w:szCs w:val="24"/>
              </w:rPr>
              <w:t>7</w:t>
            </w:r>
            <w:r w:rsidRPr="00E3435E">
              <w:rPr>
                <w:sz w:val="24"/>
                <w:szCs w:val="24"/>
              </w:rPr>
              <w:t xml:space="preserve"> г.</w:t>
            </w:r>
          </w:p>
        </w:tc>
        <w:tc>
          <w:tcPr>
            <w:tcW w:w="1417" w:type="dxa"/>
            <w:vMerge/>
            <w:tcBorders>
              <w:left w:val="single" w:sz="4" w:space="0" w:color="auto"/>
              <w:bottom w:val="single" w:sz="4" w:space="0" w:color="auto"/>
              <w:right w:val="single" w:sz="4" w:space="0" w:color="auto"/>
            </w:tcBorders>
            <w:vAlign w:val="center"/>
          </w:tcPr>
          <w:p w:rsidR="00B347E3" w:rsidRPr="00E3435E" w:rsidRDefault="00B347E3" w:rsidP="00A65FD4">
            <w:pPr>
              <w:pStyle w:val="aff1"/>
              <w:spacing w:line="276" w:lineRule="auto"/>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B347E3" w:rsidRPr="00E3435E" w:rsidRDefault="00B347E3" w:rsidP="00A65FD4">
            <w:pPr>
              <w:pStyle w:val="aff1"/>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347E3" w:rsidRPr="00E3435E" w:rsidRDefault="00B347E3" w:rsidP="00A65FD4">
            <w:pPr>
              <w:pStyle w:val="aff1"/>
              <w:spacing w:line="276" w:lineRule="auto"/>
              <w:ind w:firstLine="0"/>
              <w:jc w:val="center"/>
              <w:rPr>
                <w:sz w:val="24"/>
                <w:szCs w:val="24"/>
              </w:rPr>
            </w:pPr>
            <w:r w:rsidRPr="00E3435E">
              <w:rPr>
                <w:sz w:val="24"/>
                <w:szCs w:val="24"/>
              </w:rPr>
              <w:t>201</w:t>
            </w:r>
            <w:r>
              <w:rPr>
                <w:sz w:val="24"/>
                <w:szCs w:val="24"/>
              </w:rPr>
              <w:t>6</w:t>
            </w:r>
            <w:r w:rsidRPr="00E3435E">
              <w:rPr>
                <w:sz w:val="24"/>
                <w:szCs w:val="24"/>
              </w:rPr>
              <w:t xml:space="preserve"> г.</w:t>
            </w:r>
          </w:p>
        </w:tc>
        <w:tc>
          <w:tcPr>
            <w:tcW w:w="1134" w:type="dxa"/>
            <w:tcBorders>
              <w:top w:val="single" w:sz="4" w:space="0" w:color="auto"/>
              <w:left w:val="single" w:sz="4" w:space="0" w:color="auto"/>
              <w:bottom w:val="single" w:sz="4" w:space="0" w:color="auto"/>
            </w:tcBorders>
            <w:vAlign w:val="center"/>
          </w:tcPr>
          <w:p w:rsidR="00B347E3" w:rsidRPr="00E3435E" w:rsidRDefault="00B347E3" w:rsidP="00A65FD4">
            <w:pPr>
              <w:pStyle w:val="aff1"/>
              <w:spacing w:line="276" w:lineRule="auto"/>
              <w:ind w:firstLine="0"/>
              <w:jc w:val="center"/>
              <w:rPr>
                <w:sz w:val="24"/>
                <w:szCs w:val="24"/>
              </w:rPr>
            </w:pPr>
            <w:r w:rsidRPr="00E3435E">
              <w:rPr>
                <w:sz w:val="24"/>
                <w:szCs w:val="24"/>
              </w:rPr>
              <w:t>201</w:t>
            </w:r>
            <w:r>
              <w:rPr>
                <w:sz w:val="24"/>
                <w:szCs w:val="24"/>
              </w:rPr>
              <w:t>7</w:t>
            </w:r>
            <w:r w:rsidRPr="00E3435E">
              <w:rPr>
                <w:sz w:val="24"/>
                <w:szCs w:val="24"/>
              </w:rPr>
              <w:t xml:space="preserve"> г.</w:t>
            </w:r>
          </w:p>
        </w:tc>
      </w:tr>
      <w:tr w:rsidR="00A65FD4" w:rsidRPr="00E3435E" w:rsidTr="00A65FD4">
        <w:tc>
          <w:tcPr>
            <w:tcW w:w="2410" w:type="dxa"/>
            <w:tcBorders>
              <w:top w:val="single" w:sz="4" w:space="0" w:color="auto"/>
              <w:bottom w:val="single" w:sz="4" w:space="0" w:color="auto"/>
              <w:right w:val="single" w:sz="4" w:space="0" w:color="auto"/>
            </w:tcBorders>
            <w:vAlign w:val="center"/>
          </w:tcPr>
          <w:p w:rsidR="00A65FD4" w:rsidRPr="00E3435E" w:rsidRDefault="00A65FD4" w:rsidP="00A65FD4">
            <w:pPr>
              <w:pStyle w:val="aff1"/>
              <w:spacing w:line="240" w:lineRule="auto"/>
              <w:ind w:firstLine="0"/>
              <w:jc w:val="left"/>
              <w:rPr>
                <w:bCs/>
                <w:sz w:val="24"/>
                <w:szCs w:val="24"/>
              </w:rPr>
            </w:pPr>
            <w:r w:rsidRPr="00E3435E">
              <w:rPr>
                <w:bCs/>
                <w:sz w:val="24"/>
                <w:szCs w:val="24"/>
              </w:rPr>
              <w:t>Родившихся</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4402</w:t>
            </w:r>
          </w:p>
        </w:tc>
        <w:tc>
          <w:tcPr>
            <w:tcW w:w="1276"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3598</w:t>
            </w:r>
          </w:p>
        </w:tc>
        <w:tc>
          <w:tcPr>
            <w:tcW w:w="1417"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-804</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highlight w:val="lightGray"/>
              </w:rPr>
            </w:pPr>
            <w:r>
              <w:rPr>
                <w:sz w:val="24"/>
                <w:szCs w:val="24"/>
              </w:rPr>
              <w:t>81,7</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12,4</w:t>
            </w:r>
          </w:p>
        </w:tc>
        <w:tc>
          <w:tcPr>
            <w:tcW w:w="1134" w:type="dxa"/>
            <w:tcBorders>
              <w:top w:val="single" w:sz="4" w:space="0" w:color="auto"/>
              <w:left w:val="single" w:sz="4" w:space="0" w:color="auto"/>
              <w:bottom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10,2</w:t>
            </w:r>
          </w:p>
        </w:tc>
      </w:tr>
      <w:tr w:rsidR="00A65FD4" w:rsidRPr="00E3435E" w:rsidTr="00A65FD4">
        <w:trPr>
          <w:trHeight w:val="210"/>
        </w:trPr>
        <w:tc>
          <w:tcPr>
            <w:tcW w:w="2410" w:type="dxa"/>
            <w:tcBorders>
              <w:top w:val="single" w:sz="4" w:space="0" w:color="auto"/>
              <w:bottom w:val="single" w:sz="4" w:space="0" w:color="auto"/>
              <w:right w:val="single" w:sz="4" w:space="0" w:color="auto"/>
            </w:tcBorders>
            <w:vAlign w:val="center"/>
          </w:tcPr>
          <w:p w:rsidR="00A65FD4" w:rsidRPr="00E3435E" w:rsidRDefault="00A65FD4" w:rsidP="00A65FD4">
            <w:pPr>
              <w:pStyle w:val="aff1"/>
              <w:spacing w:line="240" w:lineRule="auto"/>
              <w:ind w:firstLine="0"/>
              <w:jc w:val="left"/>
              <w:rPr>
                <w:bCs/>
                <w:sz w:val="24"/>
                <w:szCs w:val="24"/>
              </w:rPr>
            </w:pPr>
            <w:r w:rsidRPr="00E3435E">
              <w:rPr>
                <w:bCs/>
                <w:sz w:val="24"/>
                <w:szCs w:val="24"/>
              </w:rPr>
              <w:t>Умерших</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4257</w:t>
            </w:r>
          </w:p>
        </w:tc>
        <w:tc>
          <w:tcPr>
            <w:tcW w:w="1276"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4150</w:t>
            </w:r>
          </w:p>
        </w:tc>
        <w:tc>
          <w:tcPr>
            <w:tcW w:w="1417"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highlight w:val="lightGray"/>
              </w:rPr>
            </w:pPr>
            <w:r>
              <w:rPr>
                <w:sz w:val="24"/>
                <w:szCs w:val="24"/>
              </w:rPr>
              <w:t>97,5</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12,0</w:t>
            </w:r>
          </w:p>
        </w:tc>
        <w:tc>
          <w:tcPr>
            <w:tcW w:w="1134" w:type="dxa"/>
            <w:tcBorders>
              <w:top w:val="single" w:sz="4" w:space="0" w:color="auto"/>
              <w:left w:val="single" w:sz="4" w:space="0" w:color="auto"/>
              <w:bottom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11,8</w:t>
            </w:r>
          </w:p>
        </w:tc>
      </w:tr>
      <w:tr w:rsidR="00A65FD4" w:rsidRPr="00E3435E" w:rsidTr="00A65FD4">
        <w:tc>
          <w:tcPr>
            <w:tcW w:w="2410" w:type="dxa"/>
            <w:tcBorders>
              <w:top w:val="single" w:sz="4" w:space="0" w:color="auto"/>
              <w:bottom w:val="single" w:sz="4" w:space="0" w:color="auto"/>
              <w:right w:val="single" w:sz="4" w:space="0" w:color="auto"/>
            </w:tcBorders>
            <w:vAlign w:val="center"/>
          </w:tcPr>
          <w:p w:rsidR="00A65FD4" w:rsidRPr="00E3435E" w:rsidRDefault="00A65FD4" w:rsidP="00A65FD4">
            <w:pPr>
              <w:pStyle w:val="aff1"/>
              <w:spacing w:line="240" w:lineRule="auto"/>
              <w:ind w:firstLine="0"/>
              <w:jc w:val="left"/>
              <w:rPr>
                <w:bCs/>
                <w:sz w:val="24"/>
                <w:szCs w:val="24"/>
              </w:rPr>
            </w:pPr>
            <w:r w:rsidRPr="00E3435E">
              <w:rPr>
                <w:bCs/>
                <w:sz w:val="24"/>
                <w:szCs w:val="24"/>
              </w:rPr>
              <w:t>В том числе детей</w:t>
            </w:r>
          </w:p>
          <w:p w:rsidR="00A65FD4" w:rsidRPr="00E3435E" w:rsidRDefault="00A65FD4" w:rsidP="00A65FD4">
            <w:pPr>
              <w:pStyle w:val="aff1"/>
              <w:spacing w:line="240" w:lineRule="auto"/>
              <w:ind w:firstLine="0"/>
              <w:jc w:val="left"/>
              <w:rPr>
                <w:bCs/>
                <w:sz w:val="24"/>
                <w:szCs w:val="24"/>
              </w:rPr>
            </w:pPr>
            <w:r w:rsidRPr="00E3435E">
              <w:rPr>
                <w:bCs/>
                <w:sz w:val="24"/>
                <w:szCs w:val="24"/>
              </w:rPr>
              <w:t>в возрасте до 1 года</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29</w:t>
            </w:r>
          </w:p>
        </w:tc>
        <w:tc>
          <w:tcPr>
            <w:tcW w:w="1276"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41,4</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6,6</w:t>
            </w:r>
            <w:r w:rsidRPr="00E3435E">
              <w:rPr>
                <w:sz w:val="24"/>
                <w:szCs w:val="24"/>
              </w:rPr>
              <w:t>*</w:t>
            </w:r>
          </w:p>
        </w:tc>
        <w:tc>
          <w:tcPr>
            <w:tcW w:w="1134" w:type="dxa"/>
            <w:tcBorders>
              <w:top w:val="single" w:sz="4" w:space="0" w:color="auto"/>
              <w:left w:val="single" w:sz="4" w:space="0" w:color="auto"/>
              <w:bottom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2,8</w:t>
            </w:r>
            <w:r w:rsidRPr="00E3435E">
              <w:rPr>
                <w:sz w:val="24"/>
                <w:szCs w:val="24"/>
              </w:rPr>
              <w:t>*</w:t>
            </w:r>
          </w:p>
        </w:tc>
      </w:tr>
      <w:tr w:rsidR="00A65FD4" w:rsidRPr="00E3435E" w:rsidTr="00A65FD4">
        <w:tc>
          <w:tcPr>
            <w:tcW w:w="2410" w:type="dxa"/>
            <w:tcBorders>
              <w:top w:val="single" w:sz="4" w:space="0" w:color="auto"/>
              <w:bottom w:val="single" w:sz="4" w:space="0" w:color="auto"/>
              <w:right w:val="single" w:sz="4" w:space="0" w:color="auto"/>
            </w:tcBorders>
            <w:vAlign w:val="center"/>
          </w:tcPr>
          <w:p w:rsidR="00A65FD4" w:rsidRPr="00E3435E" w:rsidRDefault="00A65FD4" w:rsidP="00A65FD4">
            <w:pPr>
              <w:pStyle w:val="aff1"/>
              <w:spacing w:line="240" w:lineRule="auto"/>
              <w:ind w:firstLine="0"/>
              <w:jc w:val="left"/>
              <w:rPr>
                <w:bCs/>
                <w:sz w:val="24"/>
                <w:szCs w:val="24"/>
              </w:rPr>
            </w:pPr>
            <w:r w:rsidRPr="00E3435E">
              <w:rPr>
                <w:bCs/>
                <w:sz w:val="24"/>
                <w:szCs w:val="24"/>
              </w:rPr>
              <w:t>Естественн</w:t>
            </w:r>
            <w:r>
              <w:rPr>
                <w:bCs/>
                <w:sz w:val="24"/>
                <w:szCs w:val="24"/>
              </w:rPr>
              <w:t>ая</w:t>
            </w:r>
            <w:r w:rsidRPr="00E3435E">
              <w:rPr>
                <w:bCs/>
                <w:sz w:val="24"/>
                <w:szCs w:val="24"/>
              </w:rPr>
              <w:t xml:space="preserve"> </w:t>
            </w:r>
            <w:r w:rsidR="008F2025">
              <w:rPr>
                <w:bCs/>
                <w:sz w:val="24"/>
                <w:szCs w:val="24"/>
              </w:rPr>
              <w:t>прирост (</w:t>
            </w:r>
            <w:r w:rsidRPr="00E3435E">
              <w:rPr>
                <w:bCs/>
                <w:sz w:val="24"/>
                <w:szCs w:val="24"/>
              </w:rPr>
              <w:t>убыль</w:t>
            </w:r>
            <w:r w:rsidR="008F2025">
              <w:rPr>
                <w:bCs/>
                <w:sz w:val="24"/>
                <w:szCs w:val="24"/>
              </w:rPr>
              <w:t>)</w:t>
            </w:r>
            <w:r w:rsidR="00B60011">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145</w:t>
            </w:r>
          </w:p>
        </w:tc>
        <w:tc>
          <w:tcPr>
            <w:tcW w:w="1276"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-552</w:t>
            </w:r>
          </w:p>
        </w:tc>
        <w:tc>
          <w:tcPr>
            <w:tcW w:w="1417" w:type="dxa"/>
            <w:tcBorders>
              <w:top w:val="single" w:sz="4" w:space="0" w:color="auto"/>
              <w:left w:val="single" w:sz="4" w:space="0" w:color="auto"/>
              <w:bottom w:val="single" w:sz="4" w:space="0" w:color="auto"/>
              <w:right w:val="single" w:sz="4" w:space="0" w:color="auto"/>
            </w:tcBorders>
            <w:vAlign w:val="center"/>
          </w:tcPr>
          <w:p w:rsidR="00A65FD4" w:rsidRPr="00E3435E" w:rsidRDefault="008F2025" w:rsidP="00A65FD4">
            <w:pPr>
              <w:pStyle w:val="aff1"/>
              <w:spacing w:line="276" w:lineRule="auto"/>
              <w:ind w:firstLine="0"/>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0,4</w:t>
            </w:r>
          </w:p>
        </w:tc>
        <w:tc>
          <w:tcPr>
            <w:tcW w:w="1134" w:type="dxa"/>
            <w:tcBorders>
              <w:top w:val="single" w:sz="4" w:space="0" w:color="auto"/>
              <w:left w:val="single" w:sz="4" w:space="0" w:color="auto"/>
              <w:bottom w:val="single" w:sz="4" w:space="0" w:color="auto"/>
            </w:tcBorders>
            <w:vAlign w:val="center"/>
          </w:tcPr>
          <w:p w:rsidR="00A65FD4" w:rsidRPr="00E3435E" w:rsidRDefault="00A65FD4" w:rsidP="00A65FD4">
            <w:pPr>
              <w:pStyle w:val="aff1"/>
              <w:spacing w:line="276" w:lineRule="auto"/>
              <w:ind w:firstLine="0"/>
              <w:jc w:val="center"/>
              <w:rPr>
                <w:sz w:val="24"/>
                <w:szCs w:val="24"/>
              </w:rPr>
            </w:pPr>
            <w:r>
              <w:rPr>
                <w:sz w:val="24"/>
                <w:szCs w:val="24"/>
              </w:rPr>
              <w:t>-1,6</w:t>
            </w:r>
          </w:p>
        </w:tc>
      </w:tr>
    </w:tbl>
    <w:p w:rsidR="00355505" w:rsidRDefault="00355505" w:rsidP="00A65FD4">
      <w:pPr>
        <w:pStyle w:val="aff1"/>
        <w:spacing w:line="276" w:lineRule="auto"/>
        <w:rPr>
          <w:sz w:val="24"/>
          <w:szCs w:val="24"/>
        </w:rPr>
      </w:pPr>
    </w:p>
    <w:p w:rsidR="00A65FD4" w:rsidRDefault="00A65FD4" w:rsidP="00A65FD4">
      <w:pPr>
        <w:pStyle w:val="aff1"/>
        <w:spacing w:line="276" w:lineRule="auto"/>
        <w:rPr>
          <w:sz w:val="24"/>
          <w:szCs w:val="24"/>
        </w:rPr>
      </w:pPr>
      <w:r w:rsidRPr="00E3435E">
        <w:rPr>
          <w:sz w:val="24"/>
          <w:szCs w:val="24"/>
        </w:rPr>
        <w:t>В результате</w:t>
      </w:r>
      <w:r w:rsidR="00B60011">
        <w:rPr>
          <w:sz w:val="24"/>
          <w:szCs w:val="24"/>
        </w:rPr>
        <w:t>,</w:t>
      </w:r>
      <w:r w:rsidRPr="00E3435E">
        <w:rPr>
          <w:sz w:val="24"/>
          <w:szCs w:val="24"/>
        </w:rPr>
        <w:t xml:space="preserve"> естественн</w:t>
      </w:r>
      <w:r>
        <w:rPr>
          <w:sz w:val="24"/>
          <w:szCs w:val="24"/>
        </w:rPr>
        <w:t>ая</w:t>
      </w:r>
      <w:r w:rsidRPr="00E3435E">
        <w:rPr>
          <w:sz w:val="24"/>
          <w:szCs w:val="24"/>
        </w:rPr>
        <w:t xml:space="preserve"> </w:t>
      </w:r>
      <w:r>
        <w:rPr>
          <w:sz w:val="24"/>
          <w:szCs w:val="24"/>
        </w:rPr>
        <w:t>убыль</w:t>
      </w:r>
      <w:r w:rsidRPr="00E3435E">
        <w:rPr>
          <w:sz w:val="24"/>
          <w:szCs w:val="24"/>
        </w:rPr>
        <w:t xml:space="preserve"> населения городского округа составил</w:t>
      </w:r>
      <w:r>
        <w:rPr>
          <w:sz w:val="24"/>
          <w:szCs w:val="24"/>
        </w:rPr>
        <w:t>а</w:t>
      </w:r>
      <w:r w:rsidRPr="00E3435E">
        <w:rPr>
          <w:sz w:val="24"/>
          <w:szCs w:val="24"/>
        </w:rPr>
        <w:t xml:space="preserve"> </w:t>
      </w:r>
      <w:r>
        <w:rPr>
          <w:sz w:val="24"/>
          <w:szCs w:val="24"/>
        </w:rPr>
        <w:t xml:space="preserve">-552 </w:t>
      </w:r>
      <w:r w:rsidRPr="00E3435E">
        <w:rPr>
          <w:sz w:val="24"/>
          <w:szCs w:val="24"/>
        </w:rPr>
        <w:t>чел.</w:t>
      </w:r>
      <w:r>
        <w:rPr>
          <w:sz w:val="24"/>
          <w:szCs w:val="24"/>
        </w:rPr>
        <w:t xml:space="preserve">, в то время как в 1 полугодии прошлого года имел место естественный прирост 145 чел. </w:t>
      </w:r>
      <w:r w:rsidRPr="00E3435E">
        <w:rPr>
          <w:sz w:val="24"/>
          <w:szCs w:val="24"/>
        </w:rPr>
        <w:t xml:space="preserve">  Общий коэффициент естественно</w:t>
      </w:r>
      <w:r>
        <w:rPr>
          <w:sz w:val="24"/>
          <w:szCs w:val="24"/>
        </w:rPr>
        <w:t>й убыли</w:t>
      </w:r>
      <w:r w:rsidRPr="00E3435E">
        <w:rPr>
          <w:sz w:val="24"/>
          <w:szCs w:val="24"/>
        </w:rPr>
        <w:t xml:space="preserve"> зафиксирован на уровне </w:t>
      </w:r>
      <w:r>
        <w:rPr>
          <w:sz w:val="24"/>
          <w:szCs w:val="24"/>
        </w:rPr>
        <w:t xml:space="preserve">-1,6 </w:t>
      </w:r>
      <w:r w:rsidRPr="00E3435E">
        <w:rPr>
          <w:sz w:val="24"/>
          <w:szCs w:val="24"/>
        </w:rPr>
        <w:t xml:space="preserve">промилле, против </w:t>
      </w:r>
      <w:r>
        <w:rPr>
          <w:sz w:val="24"/>
          <w:szCs w:val="24"/>
        </w:rPr>
        <w:t>-0,4</w:t>
      </w:r>
      <w:r w:rsidRPr="00E3435E">
        <w:rPr>
          <w:sz w:val="24"/>
          <w:szCs w:val="24"/>
        </w:rPr>
        <w:t xml:space="preserve"> промилле в </w:t>
      </w:r>
      <w:r>
        <w:rPr>
          <w:sz w:val="24"/>
          <w:szCs w:val="24"/>
        </w:rPr>
        <w:t xml:space="preserve">1 полугодии </w:t>
      </w:r>
      <w:r w:rsidRPr="00E3435E">
        <w:rPr>
          <w:sz w:val="24"/>
          <w:szCs w:val="24"/>
        </w:rPr>
        <w:t>201</w:t>
      </w:r>
      <w:r>
        <w:rPr>
          <w:sz w:val="24"/>
          <w:szCs w:val="24"/>
        </w:rPr>
        <w:t>6</w:t>
      </w:r>
      <w:r w:rsidRPr="00E3435E">
        <w:rPr>
          <w:sz w:val="24"/>
          <w:szCs w:val="24"/>
        </w:rPr>
        <w:t xml:space="preserve"> год</w:t>
      </w:r>
      <w:r>
        <w:rPr>
          <w:sz w:val="24"/>
          <w:szCs w:val="24"/>
        </w:rPr>
        <w:t>а</w:t>
      </w:r>
      <w:r w:rsidRPr="00E3435E">
        <w:rPr>
          <w:sz w:val="24"/>
          <w:szCs w:val="24"/>
        </w:rPr>
        <w:t>. Естественн</w:t>
      </w:r>
      <w:r>
        <w:rPr>
          <w:sz w:val="24"/>
          <w:szCs w:val="24"/>
        </w:rPr>
        <w:t>ая</w:t>
      </w:r>
      <w:r w:rsidRPr="00E3435E">
        <w:rPr>
          <w:sz w:val="24"/>
          <w:szCs w:val="24"/>
        </w:rPr>
        <w:t xml:space="preserve"> </w:t>
      </w:r>
      <w:r>
        <w:rPr>
          <w:sz w:val="24"/>
          <w:szCs w:val="24"/>
        </w:rPr>
        <w:t>убыль</w:t>
      </w:r>
      <w:r w:rsidRPr="00E3435E">
        <w:rPr>
          <w:sz w:val="24"/>
          <w:szCs w:val="24"/>
        </w:rPr>
        <w:t xml:space="preserve"> по городскому округу сложил</w:t>
      </w:r>
      <w:r>
        <w:rPr>
          <w:sz w:val="24"/>
          <w:szCs w:val="24"/>
        </w:rPr>
        <w:t>а</w:t>
      </w:r>
      <w:r w:rsidRPr="00E3435E">
        <w:rPr>
          <w:sz w:val="24"/>
          <w:szCs w:val="24"/>
        </w:rPr>
        <w:t>с</w:t>
      </w:r>
      <w:r>
        <w:rPr>
          <w:sz w:val="24"/>
          <w:szCs w:val="24"/>
        </w:rPr>
        <w:t>ь</w:t>
      </w:r>
      <w:r w:rsidRPr="00E3435E">
        <w:rPr>
          <w:sz w:val="24"/>
          <w:szCs w:val="24"/>
        </w:rPr>
        <w:t xml:space="preserve"> </w:t>
      </w:r>
      <w:r>
        <w:rPr>
          <w:sz w:val="24"/>
          <w:szCs w:val="24"/>
        </w:rPr>
        <w:t xml:space="preserve">в </w:t>
      </w:r>
      <w:r w:rsidRPr="00E3435E">
        <w:rPr>
          <w:sz w:val="24"/>
          <w:szCs w:val="24"/>
        </w:rPr>
        <w:t>Комсомольском</w:t>
      </w:r>
      <w:r>
        <w:rPr>
          <w:sz w:val="24"/>
          <w:szCs w:val="24"/>
        </w:rPr>
        <w:t xml:space="preserve"> (-217 чел.)</w:t>
      </w:r>
      <w:r w:rsidRPr="00E3435E">
        <w:rPr>
          <w:sz w:val="24"/>
          <w:szCs w:val="24"/>
        </w:rPr>
        <w:t xml:space="preserve"> и   Центральном   </w:t>
      </w:r>
      <w:r>
        <w:rPr>
          <w:sz w:val="24"/>
          <w:szCs w:val="24"/>
        </w:rPr>
        <w:t xml:space="preserve"> (-446 чел.) </w:t>
      </w:r>
      <w:r w:rsidRPr="00E3435E">
        <w:rPr>
          <w:sz w:val="24"/>
          <w:szCs w:val="24"/>
        </w:rPr>
        <w:t xml:space="preserve">районах </w:t>
      </w:r>
      <w:r>
        <w:rPr>
          <w:sz w:val="24"/>
          <w:szCs w:val="24"/>
        </w:rPr>
        <w:t xml:space="preserve">городского </w:t>
      </w:r>
      <w:r w:rsidRPr="00E3435E">
        <w:rPr>
          <w:sz w:val="24"/>
          <w:szCs w:val="24"/>
        </w:rPr>
        <w:t>округа</w:t>
      </w:r>
      <w:r>
        <w:rPr>
          <w:sz w:val="24"/>
          <w:szCs w:val="24"/>
        </w:rPr>
        <w:t>. В</w:t>
      </w:r>
      <w:r w:rsidRPr="00E3435E">
        <w:rPr>
          <w:sz w:val="24"/>
          <w:szCs w:val="24"/>
        </w:rPr>
        <w:t xml:space="preserve"> Автозаводско</w:t>
      </w:r>
      <w:r>
        <w:rPr>
          <w:sz w:val="24"/>
          <w:szCs w:val="24"/>
        </w:rPr>
        <w:t>м</w:t>
      </w:r>
      <w:r w:rsidRPr="00E3435E">
        <w:rPr>
          <w:sz w:val="24"/>
          <w:szCs w:val="24"/>
        </w:rPr>
        <w:t xml:space="preserve"> район</w:t>
      </w:r>
      <w:r>
        <w:rPr>
          <w:sz w:val="24"/>
          <w:szCs w:val="24"/>
        </w:rPr>
        <w:t>е</w:t>
      </w:r>
      <w:r w:rsidRPr="00E3435E">
        <w:rPr>
          <w:sz w:val="24"/>
          <w:szCs w:val="24"/>
        </w:rPr>
        <w:t xml:space="preserve"> </w:t>
      </w:r>
      <w:r>
        <w:rPr>
          <w:sz w:val="24"/>
          <w:szCs w:val="24"/>
        </w:rPr>
        <w:t>сохраняется</w:t>
      </w:r>
      <w:r w:rsidRPr="00E3435E">
        <w:rPr>
          <w:sz w:val="24"/>
          <w:szCs w:val="24"/>
        </w:rPr>
        <w:t xml:space="preserve"> естественн</w:t>
      </w:r>
      <w:r>
        <w:rPr>
          <w:sz w:val="24"/>
          <w:szCs w:val="24"/>
        </w:rPr>
        <w:t>ый</w:t>
      </w:r>
      <w:r w:rsidRPr="00E3435E">
        <w:rPr>
          <w:sz w:val="24"/>
          <w:szCs w:val="24"/>
        </w:rPr>
        <w:t xml:space="preserve"> </w:t>
      </w:r>
      <w:r>
        <w:rPr>
          <w:sz w:val="24"/>
          <w:szCs w:val="24"/>
        </w:rPr>
        <w:t xml:space="preserve">прирост </w:t>
      </w:r>
      <w:r w:rsidRPr="00E3435E">
        <w:rPr>
          <w:sz w:val="24"/>
          <w:szCs w:val="24"/>
        </w:rPr>
        <w:t>(+</w:t>
      </w:r>
      <w:r>
        <w:rPr>
          <w:sz w:val="24"/>
          <w:szCs w:val="24"/>
        </w:rPr>
        <w:t>111</w:t>
      </w:r>
      <w:r w:rsidRPr="00E3435E">
        <w:rPr>
          <w:sz w:val="24"/>
          <w:szCs w:val="24"/>
        </w:rPr>
        <w:t xml:space="preserve"> чел.).  </w:t>
      </w:r>
    </w:p>
    <w:p w:rsidR="00A65FD4" w:rsidRPr="00E3435E" w:rsidRDefault="00A65FD4" w:rsidP="00A65FD4">
      <w:pPr>
        <w:pStyle w:val="aff1"/>
        <w:spacing w:line="276" w:lineRule="auto"/>
        <w:rPr>
          <w:bCs/>
          <w:sz w:val="24"/>
          <w:szCs w:val="24"/>
          <w:lang w:eastAsia="ru-RU"/>
        </w:rPr>
      </w:pPr>
      <w:r w:rsidRPr="00E3435E">
        <w:rPr>
          <w:bCs/>
          <w:sz w:val="24"/>
          <w:szCs w:val="24"/>
          <w:lang w:eastAsia="ru-RU"/>
        </w:rPr>
        <w:t xml:space="preserve">Сальдо миграции в городском округе </w:t>
      </w:r>
      <w:r>
        <w:rPr>
          <w:bCs/>
          <w:sz w:val="24"/>
          <w:szCs w:val="24"/>
          <w:lang w:eastAsia="ru-RU"/>
        </w:rPr>
        <w:t>сохраняется</w:t>
      </w:r>
      <w:r w:rsidRPr="00E3435E">
        <w:rPr>
          <w:bCs/>
          <w:sz w:val="24"/>
          <w:szCs w:val="24"/>
          <w:lang w:eastAsia="ru-RU"/>
        </w:rPr>
        <w:t xml:space="preserve"> отрицательным </w:t>
      </w:r>
      <w:r>
        <w:rPr>
          <w:bCs/>
          <w:sz w:val="24"/>
          <w:szCs w:val="24"/>
          <w:lang w:eastAsia="ru-RU"/>
        </w:rPr>
        <w:t>-922</w:t>
      </w:r>
      <w:r w:rsidRPr="00E3435E">
        <w:rPr>
          <w:bCs/>
          <w:sz w:val="24"/>
          <w:szCs w:val="24"/>
          <w:lang w:eastAsia="ru-RU"/>
        </w:rPr>
        <w:t xml:space="preserve"> чел.</w:t>
      </w:r>
      <w:r>
        <w:rPr>
          <w:bCs/>
          <w:sz w:val="24"/>
          <w:szCs w:val="24"/>
          <w:lang w:eastAsia="ru-RU"/>
        </w:rPr>
        <w:t>, что на 39 чел. (4,4 %) выше уровня показателя 1 полугодия прошлого года</w:t>
      </w:r>
      <w:r w:rsidRPr="00E3435E">
        <w:rPr>
          <w:bCs/>
          <w:sz w:val="24"/>
          <w:szCs w:val="24"/>
          <w:lang w:eastAsia="ru-RU"/>
        </w:rPr>
        <w:t xml:space="preserve"> (</w:t>
      </w:r>
      <w:r>
        <w:rPr>
          <w:bCs/>
          <w:sz w:val="24"/>
          <w:szCs w:val="24"/>
          <w:lang w:eastAsia="ru-RU"/>
        </w:rPr>
        <w:t>-883</w:t>
      </w:r>
      <w:r w:rsidRPr="00E3435E">
        <w:rPr>
          <w:bCs/>
          <w:sz w:val="24"/>
          <w:szCs w:val="24"/>
          <w:lang w:eastAsia="ru-RU"/>
        </w:rPr>
        <w:t xml:space="preserve"> чел.). </w:t>
      </w:r>
    </w:p>
    <w:p w:rsidR="00A65FD4" w:rsidRDefault="008F2025" w:rsidP="00A65FD4">
      <w:pPr>
        <w:pStyle w:val="aff1"/>
        <w:spacing w:line="276" w:lineRule="auto"/>
        <w:rPr>
          <w:sz w:val="24"/>
          <w:szCs w:val="24"/>
        </w:rPr>
      </w:pPr>
      <w:r>
        <w:rPr>
          <w:sz w:val="24"/>
          <w:szCs w:val="24"/>
        </w:rPr>
        <w:t>Таким образом</w:t>
      </w:r>
      <w:r w:rsidR="00A65FD4">
        <w:rPr>
          <w:sz w:val="24"/>
          <w:szCs w:val="24"/>
        </w:rPr>
        <w:t>, п</w:t>
      </w:r>
      <w:r w:rsidR="00A65FD4" w:rsidRPr="00E3435E">
        <w:rPr>
          <w:sz w:val="24"/>
          <w:szCs w:val="24"/>
        </w:rPr>
        <w:t xml:space="preserve">о итогам </w:t>
      </w:r>
      <w:r w:rsidR="00A65FD4">
        <w:rPr>
          <w:sz w:val="24"/>
          <w:szCs w:val="24"/>
        </w:rPr>
        <w:t xml:space="preserve">1 полугодия текущего года </w:t>
      </w:r>
      <w:r w:rsidR="00A65FD4" w:rsidRPr="00E3435E">
        <w:rPr>
          <w:sz w:val="24"/>
          <w:szCs w:val="24"/>
        </w:rPr>
        <w:t>в демографическом развитии городского округа Тольятти произошли как положительные, так и отрицательные сдвиги.</w:t>
      </w:r>
      <w:r w:rsidR="00A65FD4">
        <w:rPr>
          <w:sz w:val="24"/>
          <w:szCs w:val="24"/>
        </w:rPr>
        <w:t xml:space="preserve"> </w:t>
      </w:r>
      <w:r w:rsidR="002C29BD">
        <w:rPr>
          <w:sz w:val="24"/>
          <w:szCs w:val="24"/>
        </w:rPr>
        <w:t>Среди положительных -</w:t>
      </w:r>
      <w:r w:rsidR="00A65FD4" w:rsidRPr="00E3435E">
        <w:rPr>
          <w:sz w:val="24"/>
          <w:szCs w:val="24"/>
        </w:rPr>
        <w:t xml:space="preserve"> улучшение показателей смертности</w:t>
      </w:r>
      <w:r w:rsidR="002C29BD">
        <w:rPr>
          <w:sz w:val="24"/>
          <w:szCs w:val="24"/>
        </w:rPr>
        <w:t>,</w:t>
      </w:r>
      <w:r w:rsidR="00A65FD4" w:rsidRPr="00E3435E">
        <w:rPr>
          <w:sz w:val="24"/>
          <w:szCs w:val="24"/>
        </w:rPr>
        <w:t xml:space="preserve"> </w:t>
      </w:r>
      <w:r w:rsidR="002C29BD">
        <w:rPr>
          <w:sz w:val="24"/>
          <w:szCs w:val="24"/>
        </w:rPr>
        <w:t>отрицательные</w:t>
      </w:r>
      <w:r w:rsidR="00A65FD4" w:rsidRPr="00E3435E">
        <w:rPr>
          <w:sz w:val="24"/>
          <w:szCs w:val="24"/>
        </w:rPr>
        <w:t xml:space="preserve"> – ухудшение показателей</w:t>
      </w:r>
      <w:r w:rsidR="00A65FD4" w:rsidRPr="00703657">
        <w:rPr>
          <w:sz w:val="24"/>
          <w:szCs w:val="24"/>
        </w:rPr>
        <w:t xml:space="preserve"> </w:t>
      </w:r>
      <w:r w:rsidR="00A65FD4" w:rsidRPr="00E3435E">
        <w:rPr>
          <w:sz w:val="24"/>
          <w:szCs w:val="24"/>
        </w:rPr>
        <w:t xml:space="preserve">рождаемости, </w:t>
      </w:r>
      <w:r w:rsidR="00A65FD4">
        <w:rPr>
          <w:sz w:val="24"/>
          <w:szCs w:val="24"/>
        </w:rPr>
        <w:t xml:space="preserve">сохранение </w:t>
      </w:r>
      <w:r w:rsidR="00A65FD4" w:rsidRPr="00E3435E">
        <w:rPr>
          <w:sz w:val="24"/>
          <w:szCs w:val="24"/>
        </w:rPr>
        <w:t>миграционн</w:t>
      </w:r>
      <w:r w:rsidR="00A65FD4">
        <w:rPr>
          <w:sz w:val="24"/>
          <w:szCs w:val="24"/>
        </w:rPr>
        <w:t>ой</w:t>
      </w:r>
      <w:r w:rsidR="00A65FD4" w:rsidRPr="00E3435E">
        <w:rPr>
          <w:sz w:val="24"/>
          <w:szCs w:val="24"/>
        </w:rPr>
        <w:t xml:space="preserve"> убыл</w:t>
      </w:r>
      <w:r w:rsidR="00A65FD4">
        <w:rPr>
          <w:sz w:val="24"/>
          <w:szCs w:val="24"/>
        </w:rPr>
        <w:t>и</w:t>
      </w:r>
      <w:r w:rsidR="00A65FD4" w:rsidRPr="00E3435E">
        <w:rPr>
          <w:sz w:val="24"/>
          <w:szCs w:val="24"/>
        </w:rPr>
        <w:t xml:space="preserve">. </w:t>
      </w:r>
    </w:p>
    <w:p w:rsidR="00B347E3" w:rsidRDefault="00B347E3" w:rsidP="00A65FD4">
      <w:pPr>
        <w:pStyle w:val="aff1"/>
        <w:spacing w:line="276" w:lineRule="auto"/>
        <w:rPr>
          <w:sz w:val="24"/>
          <w:szCs w:val="24"/>
        </w:rPr>
      </w:pPr>
    </w:p>
    <w:p w:rsidR="00B347E3" w:rsidRDefault="00B347E3" w:rsidP="00A65FD4">
      <w:pPr>
        <w:pStyle w:val="aff1"/>
        <w:spacing w:line="276" w:lineRule="auto"/>
        <w:rPr>
          <w:sz w:val="24"/>
          <w:szCs w:val="24"/>
        </w:rPr>
      </w:pPr>
    </w:p>
    <w:p w:rsidR="00B347E3" w:rsidRDefault="00B347E3" w:rsidP="00A65FD4">
      <w:pPr>
        <w:pStyle w:val="aff1"/>
        <w:spacing w:line="276" w:lineRule="auto"/>
        <w:rPr>
          <w:sz w:val="24"/>
          <w:szCs w:val="24"/>
        </w:rPr>
      </w:pPr>
    </w:p>
    <w:p w:rsidR="00A65FD4" w:rsidRDefault="00A65FD4" w:rsidP="00A65FD4">
      <w:pPr>
        <w:pStyle w:val="230"/>
        <w:keepNext/>
        <w:keepLines/>
        <w:spacing w:after="0" w:line="240" w:lineRule="auto"/>
        <w:ind w:left="0"/>
        <w:jc w:val="center"/>
        <w:rPr>
          <w:bCs/>
          <w:sz w:val="24"/>
          <w:szCs w:val="24"/>
        </w:rPr>
      </w:pPr>
      <w:r w:rsidRPr="00640BF8">
        <w:rPr>
          <w:bCs/>
          <w:sz w:val="24"/>
          <w:szCs w:val="24"/>
        </w:rPr>
        <w:t>Ожидаемое выполнение прогнозных показателей по разделу «Демография»</w:t>
      </w:r>
      <w:r>
        <w:rPr>
          <w:bCs/>
          <w:sz w:val="24"/>
          <w:szCs w:val="24"/>
        </w:rPr>
        <w:t xml:space="preserve"> </w:t>
      </w:r>
    </w:p>
    <w:p w:rsidR="00A65FD4" w:rsidRDefault="00A65FD4" w:rsidP="00A65FD4">
      <w:pPr>
        <w:pStyle w:val="230"/>
        <w:keepNext/>
        <w:keepLines/>
        <w:spacing w:after="0" w:line="240" w:lineRule="auto"/>
        <w:ind w:left="0"/>
        <w:jc w:val="center"/>
        <w:rPr>
          <w:bCs/>
          <w:sz w:val="24"/>
          <w:szCs w:val="24"/>
        </w:rPr>
      </w:pPr>
      <w:r>
        <w:rPr>
          <w:bCs/>
          <w:sz w:val="24"/>
          <w:szCs w:val="24"/>
        </w:rPr>
        <w:t>на 2017 год</w:t>
      </w:r>
    </w:p>
    <w:p w:rsidR="00A65FD4" w:rsidRPr="00640BF8" w:rsidRDefault="00A65FD4" w:rsidP="00A65FD4">
      <w:pPr>
        <w:pStyle w:val="230"/>
        <w:keepNext/>
        <w:keepLines/>
        <w:spacing w:after="0" w:line="240" w:lineRule="auto"/>
        <w:ind w:left="0"/>
        <w:jc w:val="center"/>
        <w:rPr>
          <w:bCs/>
          <w:sz w:val="24"/>
          <w:szCs w:val="24"/>
        </w:rPr>
      </w:pPr>
    </w:p>
    <w:tbl>
      <w:tblPr>
        <w:tblW w:w="0" w:type="auto"/>
        <w:tblInd w:w="108" w:type="dxa"/>
        <w:tblLayout w:type="fixed"/>
        <w:tblLook w:val="0000" w:firstRow="0" w:lastRow="0" w:firstColumn="0" w:lastColumn="0" w:noHBand="0" w:noVBand="0"/>
      </w:tblPr>
      <w:tblGrid>
        <w:gridCol w:w="3261"/>
        <w:gridCol w:w="1417"/>
        <w:gridCol w:w="1418"/>
        <w:gridCol w:w="1417"/>
        <w:gridCol w:w="1843"/>
      </w:tblGrid>
      <w:tr w:rsidR="00A65FD4" w:rsidRPr="00640BF8" w:rsidTr="00355505">
        <w:trPr>
          <w:tblHeader/>
        </w:trPr>
        <w:tc>
          <w:tcPr>
            <w:tcW w:w="3261" w:type="dxa"/>
            <w:vMerge w:val="restart"/>
            <w:tcBorders>
              <w:top w:val="single" w:sz="4" w:space="0" w:color="000000"/>
              <w:left w:val="single" w:sz="4" w:space="0" w:color="000000"/>
              <w:bottom w:val="single" w:sz="4" w:space="0" w:color="000000"/>
            </w:tcBorders>
            <w:vAlign w:val="center"/>
          </w:tcPr>
          <w:p w:rsidR="00A65FD4" w:rsidRPr="00640BF8" w:rsidRDefault="00A65FD4" w:rsidP="00A65FD4">
            <w:pPr>
              <w:pStyle w:val="230"/>
              <w:keepNext/>
              <w:keepLines/>
              <w:spacing w:after="0" w:line="240" w:lineRule="auto"/>
              <w:ind w:left="0"/>
              <w:jc w:val="center"/>
              <w:rPr>
                <w:sz w:val="24"/>
                <w:szCs w:val="24"/>
              </w:rPr>
            </w:pPr>
            <w:r w:rsidRPr="00640BF8">
              <w:rPr>
                <w:sz w:val="24"/>
                <w:szCs w:val="24"/>
              </w:rPr>
              <w:t>Показатели</w:t>
            </w:r>
          </w:p>
        </w:tc>
        <w:tc>
          <w:tcPr>
            <w:tcW w:w="1417" w:type="dxa"/>
            <w:vMerge w:val="restart"/>
            <w:tcBorders>
              <w:top w:val="single" w:sz="4" w:space="0" w:color="000000"/>
              <w:left w:val="single" w:sz="4" w:space="0" w:color="000000"/>
              <w:bottom w:val="single" w:sz="4" w:space="0" w:color="000000"/>
            </w:tcBorders>
            <w:vAlign w:val="center"/>
          </w:tcPr>
          <w:p w:rsidR="00A65FD4" w:rsidRPr="00640BF8" w:rsidRDefault="00A65FD4" w:rsidP="00A65FD4">
            <w:pPr>
              <w:pStyle w:val="230"/>
              <w:keepNext/>
              <w:keepLines/>
              <w:spacing w:after="0" w:line="240" w:lineRule="auto"/>
              <w:ind w:left="0"/>
              <w:jc w:val="center"/>
              <w:rPr>
                <w:sz w:val="24"/>
                <w:szCs w:val="24"/>
              </w:rPr>
            </w:pPr>
            <w:r w:rsidRPr="00640BF8">
              <w:rPr>
                <w:sz w:val="24"/>
                <w:szCs w:val="24"/>
              </w:rPr>
              <w:t>Ед. изм.</w:t>
            </w:r>
          </w:p>
        </w:tc>
        <w:tc>
          <w:tcPr>
            <w:tcW w:w="2835" w:type="dxa"/>
            <w:gridSpan w:val="2"/>
            <w:tcBorders>
              <w:top w:val="single" w:sz="4" w:space="0" w:color="000000"/>
              <w:left w:val="single" w:sz="4" w:space="0" w:color="000000"/>
              <w:bottom w:val="single" w:sz="4" w:space="0" w:color="000000"/>
            </w:tcBorders>
          </w:tcPr>
          <w:p w:rsidR="00A65FD4" w:rsidRPr="00066E74" w:rsidRDefault="00A65FD4" w:rsidP="00A65FD4">
            <w:pPr>
              <w:jc w:val="center"/>
              <w:rPr>
                <w:sz w:val="24"/>
                <w:szCs w:val="24"/>
              </w:rPr>
            </w:pPr>
            <w:r w:rsidRPr="00066E74">
              <w:rPr>
                <w:sz w:val="24"/>
                <w:szCs w:val="24"/>
              </w:rPr>
              <w:t xml:space="preserve">Прогноз </w:t>
            </w:r>
            <w:r>
              <w:rPr>
                <w:sz w:val="24"/>
                <w:szCs w:val="24"/>
              </w:rPr>
              <w:t xml:space="preserve">на </w:t>
            </w:r>
            <w:r w:rsidRPr="00066E74">
              <w:rPr>
                <w:sz w:val="24"/>
                <w:szCs w:val="24"/>
              </w:rPr>
              <w:t>201</w:t>
            </w:r>
            <w:r>
              <w:rPr>
                <w:sz w:val="24"/>
                <w:szCs w:val="24"/>
              </w:rPr>
              <w:t>7</w:t>
            </w:r>
            <w:r w:rsidRPr="00066E74">
              <w:rPr>
                <w:sz w:val="24"/>
                <w:szCs w:val="24"/>
              </w:rPr>
              <w:t xml:space="preserve"> г</w:t>
            </w:r>
            <w:r>
              <w:rPr>
                <w:sz w:val="24"/>
                <w:szCs w:val="24"/>
              </w:rPr>
              <w:t>од</w:t>
            </w:r>
          </w:p>
        </w:tc>
        <w:tc>
          <w:tcPr>
            <w:tcW w:w="1843" w:type="dxa"/>
            <w:vMerge w:val="restart"/>
            <w:tcBorders>
              <w:top w:val="single" w:sz="4" w:space="0" w:color="000000"/>
              <w:left w:val="single" w:sz="4" w:space="0" w:color="000000"/>
              <w:bottom w:val="single" w:sz="4" w:space="0" w:color="000000"/>
              <w:right w:val="single" w:sz="4" w:space="0" w:color="000000"/>
            </w:tcBorders>
          </w:tcPr>
          <w:p w:rsidR="00A65FD4" w:rsidRPr="00066E74" w:rsidRDefault="00A65FD4" w:rsidP="00A65FD4">
            <w:pPr>
              <w:jc w:val="center"/>
              <w:rPr>
                <w:sz w:val="24"/>
                <w:szCs w:val="24"/>
              </w:rPr>
            </w:pPr>
            <w:r w:rsidRPr="00066E74">
              <w:rPr>
                <w:sz w:val="24"/>
                <w:szCs w:val="24"/>
              </w:rPr>
              <w:t>201</w:t>
            </w:r>
            <w:r>
              <w:rPr>
                <w:sz w:val="24"/>
                <w:szCs w:val="24"/>
              </w:rPr>
              <w:t>7</w:t>
            </w:r>
            <w:r w:rsidRPr="00066E74">
              <w:rPr>
                <w:sz w:val="24"/>
                <w:szCs w:val="24"/>
              </w:rPr>
              <w:t xml:space="preserve"> г</w:t>
            </w:r>
            <w:r>
              <w:rPr>
                <w:sz w:val="24"/>
                <w:szCs w:val="24"/>
              </w:rPr>
              <w:t>од (оценка)</w:t>
            </w:r>
          </w:p>
        </w:tc>
      </w:tr>
      <w:tr w:rsidR="00A65FD4" w:rsidRPr="00640BF8" w:rsidTr="00355505">
        <w:trPr>
          <w:tblHeader/>
        </w:trPr>
        <w:tc>
          <w:tcPr>
            <w:tcW w:w="3261" w:type="dxa"/>
            <w:vMerge/>
            <w:tcBorders>
              <w:top w:val="single" w:sz="4" w:space="0" w:color="000000"/>
              <w:left w:val="single" w:sz="4" w:space="0" w:color="000000"/>
              <w:bottom w:val="single" w:sz="4" w:space="0" w:color="000000"/>
            </w:tcBorders>
            <w:vAlign w:val="center"/>
          </w:tcPr>
          <w:p w:rsidR="00A65FD4" w:rsidRPr="00640BF8" w:rsidRDefault="00A65FD4" w:rsidP="00A65FD4">
            <w:pPr>
              <w:pStyle w:val="230"/>
              <w:snapToGrid w:val="0"/>
              <w:spacing w:after="0" w:line="240"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vAlign w:val="center"/>
          </w:tcPr>
          <w:p w:rsidR="00A65FD4" w:rsidRPr="00640BF8" w:rsidRDefault="00A65FD4" w:rsidP="00A65FD4">
            <w:pPr>
              <w:pStyle w:val="230"/>
              <w:snapToGrid w:val="0"/>
              <w:spacing w:after="0" w:line="240" w:lineRule="auto"/>
              <w:ind w:left="0"/>
              <w:jc w:val="center"/>
              <w:rPr>
                <w:sz w:val="24"/>
                <w:szCs w:val="24"/>
              </w:rPr>
            </w:pPr>
          </w:p>
        </w:tc>
        <w:tc>
          <w:tcPr>
            <w:tcW w:w="1418"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1 вариант</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2 вариант</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A65FD4" w:rsidRPr="00640BF8" w:rsidRDefault="00A65FD4" w:rsidP="00A65FD4">
            <w:pPr>
              <w:pStyle w:val="230"/>
              <w:snapToGrid w:val="0"/>
              <w:spacing w:after="0" w:line="240" w:lineRule="auto"/>
              <w:ind w:left="0"/>
              <w:jc w:val="center"/>
              <w:rPr>
                <w:sz w:val="24"/>
                <w:szCs w:val="24"/>
              </w:rPr>
            </w:pPr>
          </w:p>
        </w:tc>
      </w:tr>
      <w:tr w:rsidR="00A65FD4" w:rsidRPr="00640BF8" w:rsidTr="00A65FD4">
        <w:tc>
          <w:tcPr>
            <w:tcW w:w="3261" w:type="dxa"/>
            <w:tcBorders>
              <w:top w:val="single" w:sz="4" w:space="0" w:color="000000"/>
              <w:left w:val="single" w:sz="4" w:space="0" w:color="000000"/>
              <w:bottom w:val="single" w:sz="4" w:space="0" w:color="000000"/>
            </w:tcBorders>
          </w:tcPr>
          <w:p w:rsidR="00A65FD4" w:rsidRPr="00640BF8" w:rsidRDefault="00A65FD4" w:rsidP="00A65FD4">
            <w:pPr>
              <w:pStyle w:val="230"/>
              <w:spacing w:after="0" w:line="240" w:lineRule="auto"/>
              <w:ind w:left="0"/>
              <w:rPr>
                <w:sz w:val="24"/>
                <w:szCs w:val="24"/>
              </w:rPr>
            </w:pPr>
            <w:r w:rsidRPr="00640BF8">
              <w:rPr>
                <w:sz w:val="24"/>
                <w:szCs w:val="24"/>
              </w:rPr>
              <w:t>Среднегодовая численность постоянного населения</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710,7</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712,0</w:t>
            </w:r>
          </w:p>
        </w:tc>
        <w:tc>
          <w:tcPr>
            <w:tcW w:w="1843" w:type="dxa"/>
            <w:tcBorders>
              <w:top w:val="single" w:sz="4" w:space="0" w:color="000000"/>
              <w:left w:val="single" w:sz="4" w:space="0" w:color="000000"/>
              <w:bottom w:val="single" w:sz="4" w:space="0" w:color="000000"/>
              <w:right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709,5</w:t>
            </w:r>
          </w:p>
        </w:tc>
      </w:tr>
      <w:tr w:rsidR="00A65FD4" w:rsidRPr="00640BF8" w:rsidTr="00A65FD4">
        <w:tc>
          <w:tcPr>
            <w:tcW w:w="3261" w:type="dxa"/>
            <w:tcBorders>
              <w:top w:val="single" w:sz="4" w:space="0" w:color="000000"/>
              <w:left w:val="single" w:sz="4" w:space="0" w:color="000000"/>
              <w:bottom w:val="single" w:sz="4" w:space="0" w:color="000000"/>
            </w:tcBorders>
          </w:tcPr>
          <w:p w:rsidR="00A65FD4" w:rsidRPr="00640BF8" w:rsidRDefault="00A65FD4" w:rsidP="002C29BD">
            <w:pPr>
              <w:pStyle w:val="230"/>
              <w:spacing w:after="0" w:line="240" w:lineRule="auto"/>
              <w:ind w:left="0"/>
              <w:rPr>
                <w:sz w:val="24"/>
                <w:szCs w:val="24"/>
              </w:rPr>
            </w:pPr>
            <w:r w:rsidRPr="00640BF8">
              <w:rPr>
                <w:sz w:val="24"/>
                <w:szCs w:val="24"/>
              </w:rPr>
              <w:t>Естественн</w:t>
            </w:r>
            <w:r w:rsidR="002C29BD">
              <w:rPr>
                <w:sz w:val="24"/>
                <w:szCs w:val="24"/>
              </w:rPr>
              <w:t>ый</w:t>
            </w:r>
            <w:r w:rsidRPr="00640BF8">
              <w:rPr>
                <w:sz w:val="24"/>
                <w:szCs w:val="24"/>
              </w:rPr>
              <w:t xml:space="preserve"> </w:t>
            </w:r>
            <w:r w:rsidR="002C29BD">
              <w:rPr>
                <w:sz w:val="24"/>
                <w:szCs w:val="24"/>
              </w:rPr>
              <w:t>прирост (</w:t>
            </w:r>
            <w:r w:rsidRPr="00640BF8">
              <w:rPr>
                <w:sz w:val="24"/>
                <w:szCs w:val="24"/>
              </w:rPr>
              <w:t>убыль</w:t>
            </w:r>
            <w:r w:rsidR="002C29BD">
              <w:rPr>
                <w:sz w:val="24"/>
                <w:szCs w:val="24"/>
              </w:rPr>
              <w:t>)</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0,9</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A65FD4" w:rsidRPr="00640BF8" w:rsidRDefault="00A65FD4" w:rsidP="00A65FD4">
            <w:pPr>
              <w:pStyle w:val="230"/>
              <w:spacing w:after="0" w:line="240" w:lineRule="auto"/>
              <w:ind w:left="0"/>
              <w:jc w:val="center"/>
              <w:rPr>
                <w:sz w:val="24"/>
                <w:szCs w:val="24"/>
              </w:rPr>
            </w:pPr>
            <w:r>
              <w:rPr>
                <w:sz w:val="24"/>
                <w:szCs w:val="24"/>
              </w:rPr>
              <w:t>-0,2</w:t>
            </w:r>
          </w:p>
        </w:tc>
      </w:tr>
      <w:tr w:rsidR="00A65FD4" w:rsidRPr="00640BF8" w:rsidTr="00A65FD4">
        <w:tc>
          <w:tcPr>
            <w:tcW w:w="3261" w:type="dxa"/>
            <w:tcBorders>
              <w:top w:val="single" w:sz="4" w:space="0" w:color="000000"/>
              <w:left w:val="single" w:sz="4" w:space="0" w:color="000000"/>
              <w:bottom w:val="single" w:sz="4" w:space="0" w:color="000000"/>
            </w:tcBorders>
          </w:tcPr>
          <w:p w:rsidR="00A65FD4" w:rsidRPr="00640BF8" w:rsidRDefault="00A65FD4" w:rsidP="002C29BD">
            <w:pPr>
              <w:pStyle w:val="230"/>
              <w:spacing w:after="0" w:line="240" w:lineRule="auto"/>
              <w:ind w:left="0"/>
              <w:rPr>
                <w:sz w:val="24"/>
                <w:szCs w:val="24"/>
              </w:rPr>
            </w:pPr>
            <w:r w:rsidRPr="00640BF8">
              <w:rPr>
                <w:sz w:val="24"/>
                <w:szCs w:val="24"/>
              </w:rPr>
              <w:t>Миграционн</w:t>
            </w:r>
            <w:r w:rsidR="002C29BD">
              <w:rPr>
                <w:sz w:val="24"/>
                <w:szCs w:val="24"/>
              </w:rPr>
              <w:t>ый</w:t>
            </w:r>
            <w:r w:rsidRPr="00640BF8">
              <w:rPr>
                <w:sz w:val="24"/>
                <w:szCs w:val="24"/>
              </w:rPr>
              <w:t xml:space="preserve"> </w:t>
            </w:r>
            <w:r w:rsidR="00A31DC0">
              <w:rPr>
                <w:sz w:val="24"/>
                <w:szCs w:val="24"/>
              </w:rPr>
              <w:t>прирост</w:t>
            </w:r>
            <w:r w:rsidR="002C29BD">
              <w:rPr>
                <w:sz w:val="24"/>
                <w:szCs w:val="24"/>
              </w:rPr>
              <w:t xml:space="preserve"> (убыль)</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тыс. чел.</w:t>
            </w:r>
          </w:p>
        </w:tc>
        <w:tc>
          <w:tcPr>
            <w:tcW w:w="1418"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w:t>
            </w:r>
            <w:r>
              <w:rPr>
                <w:sz w:val="24"/>
                <w:szCs w:val="24"/>
              </w:rPr>
              <w:t>3,0</w:t>
            </w:r>
          </w:p>
        </w:tc>
        <w:tc>
          <w:tcPr>
            <w:tcW w:w="1417" w:type="dxa"/>
            <w:tcBorders>
              <w:top w:val="single" w:sz="4" w:space="0" w:color="000000"/>
              <w:left w:val="single" w:sz="4" w:space="0" w:color="000000"/>
              <w:bottom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w:t>
            </w: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A65FD4" w:rsidRPr="00640BF8" w:rsidRDefault="00A65FD4" w:rsidP="00A65FD4">
            <w:pPr>
              <w:pStyle w:val="230"/>
              <w:spacing w:after="0" w:line="240" w:lineRule="auto"/>
              <w:ind w:left="0"/>
              <w:jc w:val="center"/>
              <w:rPr>
                <w:sz w:val="24"/>
                <w:szCs w:val="24"/>
              </w:rPr>
            </w:pPr>
            <w:r w:rsidRPr="00640BF8">
              <w:rPr>
                <w:sz w:val="24"/>
                <w:szCs w:val="24"/>
              </w:rPr>
              <w:t>-2,0</w:t>
            </w:r>
          </w:p>
        </w:tc>
      </w:tr>
    </w:tbl>
    <w:p w:rsidR="00A65FD4" w:rsidRDefault="00A65FD4" w:rsidP="00A65FD4">
      <w:pPr>
        <w:pStyle w:val="aff1"/>
        <w:spacing w:line="276" w:lineRule="auto"/>
        <w:rPr>
          <w:sz w:val="24"/>
          <w:szCs w:val="24"/>
        </w:rPr>
      </w:pPr>
    </w:p>
    <w:p w:rsidR="00A65FD4" w:rsidRPr="00A31DC0" w:rsidRDefault="00A65FD4" w:rsidP="00A65FD4">
      <w:pPr>
        <w:pStyle w:val="230"/>
        <w:spacing w:after="0" w:line="276" w:lineRule="auto"/>
        <w:ind w:left="0" w:firstLine="709"/>
        <w:jc w:val="both"/>
        <w:rPr>
          <w:sz w:val="24"/>
          <w:szCs w:val="24"/>
        </w:rPr>
      </w:pPr>
      <w:r w:rsidRPr="00A31DC0">
        <w:rPr>
          <w:sz w:val="24"/>
          <w:szCs w:val="24"/>
        </w:rPr>
        <w:t xml:space="preserve">Численность родившихся в 2017 году, исходя из динамики данного показателя, ожидается, на уровне 8,0 тыс. чел., а численность умерших составит по оценке  8,2 тыс. чел. </w:t>
      </w:r>
      <w:r w:rsidR="002C29BD">
        <w:rPr>
          <w:sz w:val="24"/>
          <w:szCs w:val="24"/>
        </w:rPr>
        <w:t>Таким образом, по итогам 2017 года ожидается е</w:t>
      </w:r>
      <w:r w:rsidRPr="00A31DC0">
        <w:rPr>
          <w:sz w:val="24"/>
          <w:szCs w:val="24"/>
        </w:rPr>
        <w:t>стественная убыль</w:t>
      </w:r>
      <w:r w:rsidR="002C29BD">
        <w:rPr>
          <w:sz w:val="24"/>
          <w:szCs w:val="24"/>
        </w:rPr>
        <w:t xml:space="preserve"> </w:t>
      </w:r>
      <w:r w:rsidRPr="00A31DC0">
        <w:rPr>
          <w:sz w:val="24"/>
          <w:szCs w:val="24"/>
        </w:rPr>
        <w:t xml:space="preserve"> </w:t>
      </w:r>
      <w:r w:rsidR="002C29BD">
        <w:rPr>
          <w:sz w:val="24"/>
          <w:szCs w:val="24"/>
        </w:rPr>
        <w:t>(</w:t>
      </w:r>
      <w:r w:rsidRPr="00A31DC0">
        <w:rPr>
          <w:sz w:val="24"/>
          <w:szCs w:val="24"/>
        </w:rPr>
        <w:t>-0,2 тыс. чел.</w:t>
      </w:r>
      <w:r w:rsidR="002C29BD">
        <w:rPr>
          <w:sz w:val="24"/>
          <w:szCs w:val="24"/>
        </w:rPr>
        <w:t>), тогда как годом ранее прогнозировался естественный прирост населения.</w:t>
      </w:r>
    </w:p>
    <w:p w:rsidR="00A65FD4" w:rsidRPr="00A31DC0" w:rsidRDefault="00A65FD4" w:rsidP="00A65FD4">
      <w:pPr>
        <w:pStyle w:val="aff1"/>
        <w:spacing w:line="276" w:lineRule="auto"/>
        <w:rPr>
          <w:sz w:val="24"/>
          <w:szCs w:val="24"/>
        </w:rPr>
      </w:pPr>
      <w:r w:rsidRPr="00A31DC0">
        <w:rPr>
          <w:bCs/>
          <w:sz w:val="24"/>
          <w:szCs w:val="24"/>
          <w:lang w:eastAsia="ru-RU"/>
        </w:rPr>
        <w:t xml:space="preserve">Оценка миграционной убыли на 2017 год </w:t>
      </w:r>
      <w:r w:rsidRPr="00A31DC0">
        <w:rPr>
          <w:sz w:val="24"/>
          <w:szCs w:val="24"/>
        </w:rPr>
        <w:t>прогнозируется</w:t>
      </w:r>
      <w:r w:rsidRPr="00A31DC0">
        <w:rPr>
          <w:bCs/>
          <w:sz w:val="24"/>
          <w:szCs w:val="24"/>
          <w:lang w:eastAsia="ru-RU"/>
        </w:rPr>
        <w:t xml:space="preserve"> на </w:t>
      </w:r>
      <w:r w:rsidRPr="00A31DC0">
        <w:rPr>
          <w:sz w:val="24"/>
          <w:szCs w:val="24"/>
        </w:rPr>
        <w:t>уровне -2,0 тыс. человек</w:t>
      </w:r>
      <w:r w:rsidR="002C29BD">
        <w:rPr>
          <w:sz w:val="24"/>
          <w:szCs w:val="24"/>
        </w:rPr>
        <w:t xml:space="preserve"> (в пределах коридора прогноза прошлого года).</w:t>
      </w:r>
      <w:r w:rsidRPr="00A31DC0">
        <w:rPr>
          <w:sz w:val="24"/>
          <w:szCs w:val="24"/>
        </w:rPr>
        <w:t xml:space="preserve"> </w:t>
      </w:r>
    </w:p>
    <w:p w:rsidR="00A65FD4" w:rsidRPr="00A31DC0" w:rsidRDefault="00A65FD4" w:rsidP="00A65FD4">
      <w:pPr>
        <w:pStyle w:val="af6"/>
        <w:spacing w:line="276" w:lineRule="auto"/>
        <w:ind w:right="0" w:firstLine="709"/>
        <w:rPr>
          <w:szCs w:val="24"/>
        </w:rPr>
      </w:pPr>
      <w:r w:rsidRPr="00A31DC0">
        <w:rPr>
          <w:szCs w:val="24"/>
        </w:rPr>
        <w:t xml:space="preserve">С учетом естественного и механического прироста населения, сложившихся на 01.07.2017 г., среднегодовая численность населения городского округа Тольятти, по оценке, в 2017 году составит 709,5 тыс. чел., что на 0,2 % меньше значения показателя первого варианта прогноза, рассчитанного в прошлом году. </w:t>
      </w:r>
    </w:p>
    <w:p w:rsidR="00683D33" w:rsidRDefault="00C37459" w:rsidP="00683D33">
      <w:pPr>
        <w:spacing w:line="276" w:lineRule="auto"/>
        <w:ind w:firstLine="709"/>
        <w:jc w:val="both"/>
        <w:rPr>
          <w:sz w:val="24"/>
          <w:szCs w:val="24"/>
        </w:rPr>
      </w:pPr>
      <w:r>
        <w:rPr>
          <w:sz w:val="24"/>
          <w:szCs w:val="24"/>
        </w:rPr>
        <w:t>Ч</w:t>
      </w:r>
      <w:r w:rsidR="00A65FD4" w:rsidRPr="00A31DC0">
        <w:rPr>
          <w:sz w:val="24"/>
          <w:szCs w:val="24"/>
        </w:rPr>
        <w:t xml:space="preserve">исленности </w:t>
      </w:r>
      <w:r w:rsidR="00A65FD4" w:rsidRPr="00A31DC0">
        <w:rPr>
          <w:b/>
          <w:sz w:val="24"/>
          <w:szCs w:val="24"/>
        </w:rPr>
        <w:t>трудовых ресурсов</w:t>
      </w:r>
      <w:r w:rsidR="00A65FD4" w:rsidRPr="00A31DC0">
        <w:rPr>
          <w:sz w:val="24"/>
          <w:szCs w:val="24"/>
        </w:rPr>
        <w:t xml:space="preserve"> в городском округе Тольятти, по оценке, </w:t>
      </w:r>
      <w:r>
        <w:rPr>
          <w:sz w:val="24"/>
          <w:szCs w:val="24"/>
        </w:rPr>
        <w:t xml:space="preserve">составила 464,2 тыс.человек, что </w:t>
      </w:r>
      <w:r w:rsidR="00683D33">
        <w:rPr>
          <w:sz w:val="24"/>
          <w:szCs w:val="24"/>
        </w:rPr>
        <w:t xml:space="preserve">на </w:t>
      </w:r>
      <w:r w:rsidR="00683D33" w:rsidRPr="00683D33">
        <w:rPr>
          <w:sz w:val="24"/>
          <w:szCs w:val="24"/>
        </w:rPr>
        <w:t xml:space="preserve">2,0 % меньше, чем в 2015 году. Их доля в общей численности населения городского округа по итогам 2016 года </w:t>
      </w:r>
      <w:r w:rsidR="0064755B">
        <w:rPr>
          <w:sz w:val="24"/>
          <w:szCs w:val="24"/>
        </w:rPr>
        <w:t>снизилась до</w:t>
      </w:r>
      <w:r w:rsidR="00683D33" w:rsidRPr="00683D33">
        <w:rPr>
          <w:sz w:val="24"/>
          <w:szCs w:val="24"/>
        </w:rPr>
        <w:t xml:space="preserve"> 65,2 % (в 2015 году – 66,1%).</w:t>
      </w:r>
    </w:p>
    <w:p w:rsidR="00323D36" w:rsidRPr="00323D36" w:rsidRDefault="00683D33" w:rsidP="00683D33">
      <w:pPr>
        <w:spacing w:line="276" w:lineRule="auto"/>
        <w:ind w:firstLine="709"/>
        <w:jc w:val="both"/>
        <w:rPr>
          <w:sz w:val="24"/>
          <w:szCs w:val="24"/>
        </w:rPr>
      </w:pPr>
      <w:r>
        <w:rPr>
          <w:sz w:val="24"/>
          <w:szCs w:val="24"/>
        </w:rPr>
        <w:t xml:space="preserve">На сокращение трудовых ресурсов в городе оказывает влияние </w:t>
      </w:r>
      <w:r w:rsidRPr="00323D36">
        <w:rPr>
          <w:sz w:val="24"/>
          <w:szCs w:val="24"/>
        </w:rPr>
        <w:t>ежегодн</w:t>
      </w:r>
      <w:r>
        <w:rPr>
          <w:sz w:val="24"/>
          <w:szCs w:val="24"/>
        </w:rPr>
        <w:t>ое</w:t>
      </w:r>
      <w:r w:rsidRPr="00323D36">
        <w:rPr>
          <w:sz w:val="24"/>
          <w:szCs w:val="24"/>
        </w:rPr>
        <w:t xml:space="preserve"> </w:t>
      </w:r>
      <w:r>
        <w:rPr>
          <w:sz w:val="24"/>
          <w:szCs w:val="24"/>
        </w:rPr>
        <w:t>снижение численности населения</w:t>
      </w:r>
      <w:r w:rsidRPr="00323D36">
        <w:rPr>
          <w:sz w:val="24"/>
          <w:szCs w:val="24"/>
        </w:rPr>
        <w:t xml:space="preserve"> в трудоспособном </w:t>
      </w:r>
      <w:r w:rsidRPr="00683D33">
        <w:rPr>
          <w:sz w:val="24"/>
          <w:szCs w:val="24"/>
        </w:rPr>
        <w:t>возрасте (на 01.01.2016 г. численность населения в трудоспособном возрасте снизилась на 13,6 тыс. чел. относительно 01.01.2015 г. и составила 416,1 тыс.</w:t>
      </w:r>
      <w:r>
        <w:rPr>
          <w:sz w:val="24"/>
          <w:szCs w:val="24"/>
        </w:rPr>
        <w:t xml:space="preserve"> </w:t>
      </w:r>
      <w:r w:rsidRPr="00683D33">
        <w:rPr>
          <w:sz w:val="24"/>
          <w:szCs w:val="24"/>
        </w:rPr>
        <w:t xml:space="preserve">человек). </w:t>
      </w:r>
      <w:r w:rsidR="00323D36" w:rsidRPr="00683D33">
        <w:rPr>
          <w:sz w:val="24"/>
          <w:szCs w:val="24"/>
        </w:rPr>
        <w:t>При</w:t>
      </w:r>
      <w:r w:rsidR="00323D36" w:rsidRPr="00323D36">
        <w:rPr>
          <w:sz w:val="24"/>
          <w:szCs w:val="24"/>
        </w:rPr>
        <w:t xml:space="preserve"> этом растет доля населения старше трудоспособного возраста.</w:t>
      </w:r>
    </w:p>
    <w:p w:rsidR="00683D33" w:rsidRDefault="00C37459" w:rsidP="00683D33">
      <w:pPr>
        <w:spacing w:line="276" w:lineRule="auto"/>
        <w:ind w:firstLine="709"/>
        <w:jc w:val="both"/>
        <w:rPr>
          <w:sz w:val="24"/>
          <w:szCs w:val="24"/>
        </w:rPr>
      </w:pPr>
      <w:r w:rsidRPr="00C37459">
        <w:rPr>
          <w:sz w:val="24"/>
          <w:szCs w:val="24"/>
        </w:rPr>
        <w:t xml:space="preserve">Численность занятых в экономике также снижается. </w:t>
      </w:r>
      <w:r>
        <w:rPr>
          <w:sz w:val="24"/>
          <w:szCs w:val="24"/>
        </w:rPr>
        <w:t>В 2016 году</w:t>
      </w:r>
      <w:r w:rsidRPr="00C37459">
        <w:rPr>
          <w:sz w:val="24"/>
          <w:szCs w:val="24"/>
        </w:rPr>
        <w:t>, по оценке, численность занятого населения составля</w:t>
      </w:r>
      <w:r>
        <w:rPr>
          <w:sz w:val="24"/>
          <w:szCs w:val="24"/>
        </w:rPr>
        <w:t>ла</w:t>
      </w:r>
      <w:r w:rsidRPr="00C37459">
        <w:rPr>
          <w:sz w:val="24"/>
          <w:szCs w:val="24"/>
        </w:rPr>
        <w:t xml:space="preserve"> порядка 3</w:t>
      </w:r>
      <w:r>
        <w:rPr>
          <w:sz w:val="24"/>
          <w:szCs w:val="24"/>
        </w:rPr>
        <w:t>50</w:t>
      </w:r>
      <w:r w:rsidRPr="00C37459">
        <w:rPr>
          <w:sz w:val="24"/>
          <w:szCs w:val="24"/>
        </w:rPr>
        <w:t xml:space="preserve"> тыс.человек</w:t>
      </w:r>
      <w:r>
        <w:rPr>
          <w:sz w:val="24"/>
          <w:szCs w:val="24"/>
        </w:rPr>
        <w:t xml:space="preserve"> </w:t>
      </w:r>
      <w:r w:rsidR="00683D33" w:rsidRPr="00683D33">
        <w:rPr>
          <w:sz w:val="24"/>
          <w:szCs w:val="24"/>
        </w:rPr>
        <w:t>(снижение на 2,3</w:t>
      </w:r>
      <w:r w:rsidR="0064755B">
        <w:rPr>
          <w:sz w:val="24"/>
          <w:szCs w:val="24"/>
        </w:rPr>
        <w:t xml:space="preserve"> </w:t>
      </w:r>
      <w:r w:rsidR="00683D33" w:rsidRPr="00683D33">
        <w:rPr>
          <w:sz w:val="24"/>
          <w:szCs w:val="24"/>
        </w:rPr>
        <w:t>% к 2015 году).</w:t>
      </w:r>
      <w:r w:rsidR="00683D33" w:rsidRPr="00C37459">
        <w:rPr>
          <w:sz w:val="24"/>
          <w:szCs w:val="24"/>
        </w:rPr>
        <w:t xml:space="preserve"> </w:t>
      </w:r>
    </w:p>
    <w:p w:rsidR="00A65FD4" w:rsidRPr="00A31DC0" w:rsidRDefault="00953BED" w:rsidP="00683D33">
      <w:pPr>
        <w:spacing w:line="276" w:lineRule="auto"/>
        <w:ind w:firstLine="709"/>
        <w:jc w:val="both"/>
        <w:rPr>
          <w:sz w:val="24"/>
          <w:szCs w:val="24"/>
        </w:rPr>
      </w:pPr>
      <w:r>
        <w:rPr>
          <w:sz w:val="24"/>
          <w:szCs w:val="24"/>
        </w:rPr>
        <w:t xml:space="preserve">На отрицательную динамику показателя повлияли </w:t>
      </w:r>
      <w:r w:rsidR="00A65FD4" w:rsidRPr="00A31DC0">
        <w:rPr>
          <w:sz w:val="24"/>
          <w:szCs w:val="24"/>
        </w:rPr>
        <w:t>массовы</w:t>
      </w:r>
      <w:r>
        <w:rPr>
          <w:sz w:val="24"/>
          <w:szCs w:val="24"/>
        </w:rPr>
        <w:t>е</w:t>
      </w:r>
      <w:r w:rsidR="00A65FD4" w:rsidRPr="00A31DC0">
        <w:rPr>
          <w:sz w:val="24"/>
          <w:szCs w:val="24"/>
        </w:rPr>
        <w:t xml:space="preserve"> сокращени</w:t>
      </w:r>
      <w:r>
        <w:rPr>
          <w:sz w:val="24"/>
          <w:szCs w:val="24"/>
        </w:rPr>
        <w:t>я</w:t>
      </w:r>
      <w:r w:rsidR="00A65FD4" w:rsidRPr="00A31DC0">
        <w:rPr>
          <w:sz w:val="24"/>
          <w:szCs w:val="24"/>
        </w:rPr>
        <w:t xml:space="preserve"> работников с градообразующего предприятия ПАО «АВТОВАЗ» и других предприятий автомобилестроения в 2014 – 2016 годах (более, чем на 40 тыс.рабочих), рост безработицы (пик безработицы пришелся на апрель-май 2016 года, когда количество безработных достигало 10,5 тыс.человек)</w:t>
      </w:r>
      <w:r>
        <w:rPr>
          <w:sz w:val="24"/>
          <w:szCs w:val="24"/>
        </w:rPr>
        <w:t xml:space="preserve"> и миграционный отток населения (</w:t>
      </w:r>
      <w:r w:rsidRPr="00953BED">
        <w:rPr>
          <w:sz w:val="24"/>
          <w:szCs w:val="24"/>
        </w:rPr>
        <w:t>миграционная убыль достигала 11 тыс. чел. за 2015-2016 годы</w:t>
      </w:r>
      <w:r>
        <w:rPr>
          <w:sz w:val="24"/>
          <w:szCs w:val="24"/>
        </w:rPr>
        <w:t>)</w:t>
      </w:r>
      <w:r w:rsidR="00A65FD4" w:rsidRPr="00A31DC0">
        <w:rPr>
          <w:sz w:val="24"/>
          <w:szCs w:val="24"/>
        </w:rPr>
        <w:t>.</w:t>
      </w:r>
    </w:p>
    <w:p w:rsidR="00A65FD4" w:rsidRPr="00A31DC0" w:rsidRDefault="00A65FD4" w:rsidP="00C37459">
      <w:pPr>
        <w:spacing w:line="276" w:lineRule="auto"/>
        <w:ind w:firstLine="709"/>
        <w:jc w:val="both"/>
        <w:rPr>
          <w:sz w:val="24"/>
          <w:szCs w:val="24"/>
        </w:rPr>
      </w:pPr>
      <w:r w:rsidRPr="00A31DC0">
        <w:rPr>
          <w:sz w:val="24"/>
          <w:szCs w:val="24"/>
        </w:rPr>
        <w:t xml:space="preserve">По итогам </w:t>
      </w:r>
      <w:r w:rsidR="00953BED">
        <w:rPr>
          <w:sz w:val="24"/>
          <w:szCs w:val="24"/>
        </w:rPr>
        <w:t xml:space="preserve">2016 года </w:t>
      </w:r>
      <w:r w:rsidRPr="00A31DC0">
        <w:rPr>
          <w:sz w:val="24"/>
          <w:szCs w:val="24"/>
        </w:rPr>
        <w:t>среднеспис</w:t>
      </w:r>
      <w:r w:rsidR="00C37459">
        <w:rPr>
          <w:sz w:val="24"/>
          <w:szCs w:val="24"/>
        </w:rPr>
        <w:t xml:space="preserve">очная численность работающих в организациях </w:t>
      </w:r>
      <w:r w:rsidRPr="00A31DC0">
        <w:rPr>
          <w:sz w:val="24"/>
          <w:szCs w:val="24"/>
        </w:rPr>
        <w:t>городского округа Тольятти</w:t>
      </w:r>
      <w:r w:rsidR="00C37459">
        <w:rPr>
          <w:sz w:val="24"/>
          <w:szCs w:val="24"/>
        </w:rPr>
        <w:t xml:space="preserve">, не относящихся к субъектам малого предпринимательства, </w:t>
      </w:r>
      <w:r w:rsidRPr="00A31DC0">
        <w:rPr>
          <w:sz w:val="24"/>
          <w:szCs w:val="24"/>
        </w:rPr>
        <w:t xml:space="preserve"> </w:t>
      </w:r>
      <w:r w:rsidR="00323D36">
        <w:rPr>
          <w:sz w:val="24"/>
          <w:szCs w:val="24"/>
        </w:rPr>
        <w:t xml:space="preserve">на которых трудится половина занятых в экономике города, </w:t>
      </w:r>
      <w:r w:rsidRPr="00A31DC0">
        <w:rPr>
          <w:sz w:val="24"/>
          <w:szCs w:val="24"/>
        </w:rPr>
        <w:t xml:space="preserve">уменьшилась </w:t>
      </w:r>
      <w:r w:rsidR="00683D33" w:rsidRPr="00683D33">
        <w:rPr>
          <w:sz w:val="24"/>
          <w:szCs w:val="24"/>
        </w:rPr>
        <w:t>на 8,5 % по сравнению с 2015 годом и составила 174,0 тыс. чел.</w:t>
      </w:r>
      <w:r w:rsidR="00953BED">
        <w:rPr>
          <w:sz w:val="24"/>
          <w:szCs w:val="24"/>
        </w:rPr>
        <w:t xml:space="preserve">, в </w:t>
      </w:r>
      <w:r w:rsidR="00953BED" w:rsidRPr="00A31DC0">
        <w:rPr>
          <w:sz w:val="24"/>
          <w:szCs w:val="24"/>
        </w:rPr>
        <w:t>1 полугоди</w:t>
      </w:r>
      <w:r w:rsidR="00953BED">
        <w:rPr>
          <w:sz w:val="24"/>
          <w:szCs w:val="24"/>
        </w:rPr>
        <w:t>и</w:t>
      </w:r>
      <w:r w:rsidR="00953BED" w:rsidRPr="00A31DC0">
        <w:rPr>
          <w:sz w:val="24"/>
          <w:szCs w:val="24"/>
        </w:rPr>
        <w:t xml:space="preserve"> 2017 года </w:t>
      </w:r>
      <w:r w:rsidR="007538B6">
        <w:rPr>
          <w:sz w:val="24"/>
          <w:szCs w:val="24"/>
        </w:rPr>
        <w:t>численность работников сократилась еще на 4,7 % до</w:t>
      </w:r>
      <w:r w:rsidR="00953BED">
        <w:rPr>
          <w:sz w:val="24"/>
          <w:szCs w:val="24"/>
        </w:rPr>
        <w:t xml:space="preserve"> </w:t>
      </w:r>
      <w:r w:rsidRPr="00A31DC0">
        <w:rPr>
          <w:sz w:val="24"/>
          <w:szCs w:val="24"/>
        </w:rPr>
        <w:t>160,7 тыс. чел.</w:t>
      </w:r>
    </w:p>
    <w:p w:rsidR="00A65FD4" w:rsidRPr="00A31DC0" w:rsidRDefault="00A65FD4" w:rsidP="00A65FD4">
      <w:pPr>
        <w:pStyle w:val="aff1"/>
        <w:spacing w:line="276" w:lineRule="auto"/>
        <w:rPr>
          <w:sz w:val="24"/>
          <w:szCs w:val="24"/>
        </w:rPr>
      </w:pPr>
      <w:r w:rsidRPr="00A31DC0">
        <w:rPr>
          <w:sz w:val="24"/>
          <w:szCs w:val="24"/>
        </w:rPr>
        <w:t xml:space="preserve">Наиболее значительное </w:t>
      </w:r>
      <w:r w:rsidR="002C29BD">
        <w:rPr>
          <w:sz w:val="24"/>
          <w:szCs w:val="24"/>
        </w:rPr>
        <w:t>снижение численности работников</w:t>
      </w:r>
      <w:r w:rsidRPr="00A31DC0">
        <w:rPr>
          <w:sz w:val="24"/>
          <w:szCs w:val="24"/>
        </w:rPr>
        <w:t xml:space="preserve"> </w:t>
      </w:r>
      <w:r w:rsidR="00323D36">
        <w:rPr>
          <w:sz w:val="24"/>
          <w:szCs w:val="24"/>
        </w:rPr>
        <w:t>наблюдалось</w:t>
      </w:r>
      <w:r w:rsidRPr="00A31DC0">
        <w:rPr>
          <w:sz w:val="24"/>
          <w:szCs w:val="24"/>
        </w:rPr>
        <w:t xml:space="preserve"> </w:t>
      </w:r>
      <w:r w:rsidR="00323D36">
        <w:rPr>
          <w:sz w:val="24"/>
          <w:szCs w:val="24"/>
        </w:rPr>
        <w:t>в строительных организациях</w:t>
      </w:r>
      <w:r w:rsidRPr="00A31DC0">
        <w:rPr>
          <w:sz w:val="24"/>
          <w:szCs w:val="24"/>
        </w:rPr>
        <w:t xml:space="preserve"> – на 26,0 %, </w:t>
      </w:r>
      <w:r w:rsidR="00323D36">
        <w:rPr>
          <w:sz w:val="24"/>
          <w:szCs w:val="24"/>
        </w:rPr>
        <w:t xml:space="preserve">организациях </w:t>
      </w:r>
      <w:r w:rsidRPr="00A31DC0">
        <w:rPr>
          <w:sz w:val="24"/>
          <w:szCs w:val="24"/>
        </w:rPr>
        <w:t xml:space="preserve">финансовой и страховой деятельности – на 23,0 %, по обеспечению электроэнергией, газом и паром – на 20,8 %. На предприятиях обрабатывающих производств численность работников уменьшилась на 8,1 %. </w:t>
      </w:r>
    </w:p>
    <w:p w:rsidR="00A65FD4" w:rsidRPr="00A31DC0" w:rsidRDefault="00A65FD4" w:rsidP="00A65FD4">
      <w:pPr>
        <w:pStyle w:val="aff1"/>
        <w:spacing w:line="276" w:lineRule="auto"/>
        <w:rPr>
          <w:sz w:val="24"/>
          <w:szCs w:val="24"/>
        </w:rPr>
      </w:pPr>
      <w:r w:rsidRPr="00A31DC0">
        <w:rPr>
          <w:sz w:val="24"/>
          <w:szCs w:val="24"/>
        </w:rPr>
        <w:t>Наибольший прирост численности работников в 1 полугодии текущего года относительно аналогичного периода прошлого года отмечается на предприятиях оптовой и розничной торговли – на 22,4 %.</w:t>
      </w:r>
    </w:p>
    <w:p w:rsidR="007538B6" w:rsidRDefault="00A65FD4" w:rsidP="00A65FD4">
      <w:pPr>
        <w:pStyle w:val="af6"/>
        <w:spacing w:line="276" w:lineRule="auto"/>
        <w:ind w:right="0" w:firstLine="709"/>
        <w:rPr>
          <w:szCs w:val="24"/>
        </w:rPr>
      </w:pPr>
      <w:r w:rsidRPr="00A31DC0">
        <w:rPr>
          <w:szCs w:val="24"/>
        </w:rPr>
        <w:t xml:space="preserve"> В настоящее время ситуация на рынке труда города Тольятти стабилизирова</w:t>
      </w:r>
      <w:r w:rsidR="00323D36">
        <w:rPr>
          <w:szCs w:val="24"/>
        </w:rPr>
        <w:t>на.</w:t>
      </w:r>
      <w:r w:rsidRPr="00A31DC0">
        <w:rPr>
          <w:szCs w:val="24"/>
        </w:rPr>
        <w:t xml:space="preserve"> </w:t>
      </w:r>
      <w:r w:rsidR="00323D36">
        <w:rPr>
          <w:szCs w:val="24"/>
        </w:rPr>
        <w:t>Н</w:t>
      </w:r>
      <w:r w:rsidRPr="00A31DC0">
        <w:rPr>
          <w:szCs w:val="24"/>
        </w:rPr>
        <w:t xml:space="preserve">ачиная с мая 2016 года, уровень регистрируемой безработицы в городе последовательно снижается. </w:t>
      </w:r>
    </w:p>
    <w:p w:rsidR="00A65FD4" w:rsidRPr="00A31DC0" w:rsidRDefault="007538B6" w:rsidP="00A65FD4">
      <w:pPr>
        <w:pStyle w:val="af6"/>
        <w:spacing w:line="276" w:lineRule="auto"/>
        <w:ind w:right="0" w:firstLine="709"/>
        <w:rPr>
          <w:szCs w:val="24"/>
        </w:rPr>
      </w:pPr>
      <w:r w:rsidRPr="00A31DC0">
        <w:rPr>
          <w:szCs w:val="24"/>
        </w:rPr>
        <w:t xml:space="preserve">По сведениям ГКУСО «Центр занятости населения городского округа Тольятти»  </w:t>
      </w:r>
      <w:r>
        <w:rPr>
          <w:szCs w:val="24"/>
        </w:rPr>
        <w:t>ч</w:t>
      </w:r>
      <w:r w:rsidR="00A65FD4" w:rsidRPr="00A31DC0">
        <w:rPr>
          <w:szCs w:val="24"/>
        </w:rPr>
        <w:t>исленность безработных граждан  на 01.07.2017 г. составила 6,6 тыс. чел.</w:t>
      </w:r>
      <w:r w:rsidR="0064755B">
        <w:rPr>
          <w:szCs w:val="24"/>
        </w:rPr>
        <w:t xml:space="preserve"> (на </w:t>
      </w:r>
      <w:r w:rsidR="00590E96">
        <w:rPr>
          <w:szCs w:val="24"/>
        </w:rPr>
        <w:t>29</w:t>
      </w:r>
      <w:r w:rsidR="0064755B">
        <w:rPr>
          <w:szCs w:val="24"/>
        </w:rPr>
        <w:t xml:space="preserve">.09.2017 </w:t>
      </w:r>
      <w:r w:rsidR="00590E96">
        <w:rPr>
          <w:szCs w:val="24"/>
        </w:rPr>
        <w:t>–</w:t>
      </w:r>
      <w:r w:rsidR="0064755B">
        <w:rPr>
          <w:szCs w:val="24"/>
        </w:rPr>
        <w:t xml:space="preserve"> </w:t>
      </w:r>
      <w:r w:rsidR="00590E96">
        <w:rPr>
          <w:szCs w:val="24"/>
        </w:rPr>
        <w:t>5,5 тыс.чел.)</w:t>
      </w:r>
      <w:r w:rsidR="00A65FD4" w:rsidRPr="00A31DC0">
        <w:rPr>
          <w:szCs w:val="24"/>
        </w:rPr>
        <w:t>, что на 27,7</w:t>
      </w:r>
      <w:r w:rsidR="00590E96">
        <w:rPr>
          <w:szCs w:val="24"/>
        </w:rPr>
        <w:t xml:space="preserve"> </w:t>
      </w:r>
      <w:r w:rsidR="00A65FD4" w:rsidRPr="00A31DC0">
        <w:rPr>
          <w:szCs w:val="24"/>
        </w:rPr>
        <w:t xml:space="preserve">%  </w:t>
      </w:r>
      <w:r w:rsidR="00683D33" w:rsidRPr="00683D33">
        <w:rPr>
          <w:szCs w:val="24"/>
        </w:rPr>
        <w:t>(2,5 тыс. человек)</w:t>
      </w:r>
      <w:r w:rsidR="00323D36">
        <w:rPr>
          <w:szCs w:val="24"/>
        </w:rPr>
        <w:t xml:space="preserve"> </w:t>
      </w:r>
      <w:r w:rsidR="00A65FD4" w:rsidRPr="00A31DC0">
        <w:rPr>
          <w:szCs w:val="24"/>
        </w:rPr>
        <w:t xml:space="preserve">меньше показателя на 01.07.2016 г. </w:t>
      </w:r>
    </w:p>
    <w:p w:rsidR="00A65FD4" w:rsidRPr="00A31DC0" w:rsidRDefault="00A65FD4" w:rsidP="00A65FD4">
      <w:pPr>
        <w:pStyle w:val="aff1"/>
        <w:spacing w:line="276" w:lineRule="auto"/>
        <w:rPr>
          <w:sz w:val="24"/>
          <w:szCs w:val="24"/>
        </w:rPr>
      </w:pPr>
      <w:r w:rsidRPr="00A31DC0">
        <w:rPr>
          <w:sz w:val="24"/>
          <w:szCs w:val="24"/>
        </w:rPr>
        <w:t>Уровень безработицы на конец июня 2017 года относительно показателя 1 полугодия 2016 года снизился на 0,5 п.п. и составил 1,6 %</w:t>
      </w:r>
      <w:r w:rsidR="00590E96">
        <w:rPr>
          <w:sz w:val="24"/>
          <w:szCs w:val="24"/>
        </w:rPr>
        <w:t xml:space="preserve"> </w:t>
      </w:r>
      <w:r w:rsidR="00590E96" w:rsidRPr="00590E96">
        <w:rPr>
          <w:sz w:val="24"/>
          <w:szCs w:val="24"/>
        </w:rPr>
        <w:t xml:space="preserve">(на 29.09.2017 – </w:t>
      </w:r>
      <w:r w:rsidR="00590E96">
        <w:rPr>
          <w:sz w:val="24"/>
          <w:szCs w:val="24"/>
        </w:rPr>
        <w:t>1,3 %</w:t>
      </w:r>
      <w:r w:rsidR="00590E96" w:rsidRPr="00590E96">
        <w:rPr>
          <w:sz w:val="24"/>
          <w:szCs w:val="24"/>
        </w:rPr>
        <w:t>)</w:t>
      </w:r>
      <w:r w:rsidRPr="00A31DC0">
        <w:rPr>
          <w:sz w:val="24"/>
          <w:szCs w:val="24"/>
        </w:rPr>
        <w:t xml:space="preserve">. </w:t>
      </w:r>
    </w:p>
    <w:p w:rsidR="00A65FD4" w:rsidRPr="00A31DC0" w:rsidRDefault="00A65FD4" w:rsidP="00A65FD4">
      <w:pPr>
        <w:pStyle w:val="aff1"/>
        <w:spacing w:line="276" w:lineRule="auto"/>
        <w:rPr>
          <w:sz w:val="24"/>
          <w:szCs w:val="24"/>
        </w:rPr>
      </w:pPr>
      <w:r w:rsidRPr="00A31DC0">
        <w:rPr>
          <w:sz w:val="24"/>
          <w:szCs w:val="24"/>
        </w:rPr>
        <w:t xml:space="preserve">Число открытых вакансий, имеющихся в распоряжении службы занятости, увеличилось относительно прошлого года на 5,4 % и составило на конец июня 5,0 тыс. ед. </w:t>
      </w:r>
    </w:p>
    <w:p w:rsidR="00A65FD4" w:rsidRPr="00A31DC0" w:rsidRDefault="00A65FD4" w:rsidP="00A65FD4">
      <w:pPr>
        <w:spacing w:line="276" w:lineRule="auto"/>
        <w:ind w:firstLine="709"/>
        <w:jc w:val="both"/>
        <w:rPr>
          <w:sz w:val="24"/>
          <w:szCs w:val="24"/>
        </w:rPr>
      </w:pPr>
      <w:r w:rsidRPr="00A31DC0">
        <w:rPr>
          <w:sz w:val="24"/>
          <w:szCs w:val="24"/>
        </w:rPr>
        <w:t xml:space="preserve">Вследствие уменьшения количества безработных и роста числа вакансий нагрузка на одну вакансию в 1 полугодии 2017 года снизилась в 1,4 раза до уровня 1,4 чел. </w:t>
      </w:r>
    </w:p>
    <w:p w:rsidR="007538B6" w:rsidRDefault="00A65FD4" w:rsidP="00A65FD4">
      <w:pPr>
        <w:pStyle w:val="aff1"/>
        <w:spacing w:line="276" w:lineRule="auto"/>
        <w:rPr>
          <w:sz w:val="24"/>
          <w:szCs w:val="24"/>
        </w:rPr>
      </w:pPr>
      <w:r w:rsidRPr="00A31DC0">
        <w:rPr>
          <w:sz w:val="24"/>
          <w:szCs w:val="24"/>
        </w:rPr>
        <w:t xml:space="preserve">При этом, наблюдается значительное увеличение доли (в 2,0 раза) длительно неработающих граждан (более 1 года) – 15,2 % против 7,7 %. </w:t>
      </w:r>
    </w:p>
    <w:p w:rsidR="007538B6" w:rsidRPr="00A31DC0" w:rsidRDefault="007538B6" w:rsidP="007538B6">
      <w:pPr>
        <w:pStyle w:val="aff1"/>
        <w:spacing w:line="276" w:lineRule="auto"/>
        <w:rPr>
          <w:sz w:val="24"/>
          <w:szCs w:val="24"/>
        </w:rPr>
      </w:pPr>
      <w:r>
        <w:rPr>
          <w:sz w:val="24"/>
          <w:szCs w:val="24"/>
        </w:rPr>
        <w:t>П</w:t>
      </w:r>
      <w:r w:rsidR="00A65FD4" w:rsidRPr="00A31DC0">
        <w:rPr>
          <w:sz w:val="24"/>
          <w:szCs w:val="24"/>
        </w:rPr>
        <w:t xml:space="preserve">о итогам 1 полугодия текущего года было высвобождено по причине сокращения штатов 1,3 тыс. чел. (130 предприятий), что в 2,2 раза меньше прошлогоднего показателя. Высвобождения работников наблюдались не только на предприятиях автомобильной отрасли, но и других сфер, прежде всего, химической. </w:t>
      </w:r>
      <w:r>
        <w:rPr>
          <w:sz w:val="24"/>
          <w:szCs w:val="24"/>
        </w:rPr>
        <w:t>При этом, д</w:t>
      </w:r>
      <w:r w:rsidRPr="00A31DC0">
        <w:rPr>
          <w:sz w:val="24"/>
          <w:szCs w:val="24"/>
        </w:rPr>
        <w:t>оля работников, уволенных по причине сокращения в общем числе ранее работавших безработных, уменьшилась на 5,5 п.п. и составила 18,1 % (</w:t>
      </w:r>
      <w:r>
        <w:rPr>
          <w:sz w:val="24"/>
          <w:szCs w:val="24"/>
        </w:rPr>
        <w:t xml:space="preserve">в </w:t>
      </w:r>
      <w:r w:rsidRPr="00A31DC0">
        <w:rPr>
          <w:sz w:val="24"/>
          <w:szCs w:val="24"/>
        </w:rPr>
        <w:t>1 полугоди</w:t>
      </w:r>
      <w:r>
        <w:rPr>
          <w:sz w:val="24"/>
          <w:szCs w:val="24"/>
        </w:rPr>
        <w:t>и</w:t>
      </w:r>
      <w:r w:rsidRPr="00A31DC0">
        <w:rPr>
          <w:sz w:val="24"/>
          <w:szCs w:val="24"/>
        </w:rPr>
        <w:t xml:space="preserve"> 2016 года – 23,6 %).</w:t>
      </w:r>
    </w:p>
    <w:p w:rsidR="00A65FD4" w:rsidRPr="00A31DC0" w:rsidRDefault="00A65FD4" w:rsidP="00A65FD4">
      <w:pPr>
        <w:spacing w:line="276" w:lineRule="auto"/>
        <w:ind w:firstLine="709"/>
        <w:jc w:val="both"/>
        <w:rPr>
          <w:sz w:val="24"/>
          <w:szCs w:val="24"/>
        </w:rPr>
      </w:pPr>
      <w:r w:rsidRPr="00A31DC0">
        <w:rPr>
          <w:sz w:val="24"/>
          <w:szCs w:val="24"/>
        </w:rPr>
        <w:t xml:space="preserve">Масштабы скрытой безработицы относительно прошлого года значительно </w:t>
      </w:r>
      <w:r w:rsidR="00755AD0">
        <w:rPr>
          <w:sz w:val="24"/>
          <w:szCs w:val="24"/>
        </w:rPr>
        <w:t>снизились</w:t>
      </w:r>
      <w:r w:rsidRPr="00A31DC0">
        <w:rPr>
          <w:sz w:val="24"/>
          <w:szCs w:val="24"/>
        </w:rPr>
        <w:t xml:space="preserve">. На 01.07.2017 г. 15 предприятий работало в  режиме неполного рабочего времени, временной приостановки работы (простое) (на 01.07.2016 г. - 61 предприятие). Количество работников, работающих в режиме неполной занятости, снизилось в 48,9 раз и составило 1,0 тыс. чел. </w:t>
      </w:r>
    </w:p>
    <w:p w:rsidR="00A65FD4" w:rsidRPr="00A31DC0" w:rsidRDefault="00A65FD4" w:rsidP="00A65FD4">
      <w:pPr>
        <w:pStyle w:val="af6"/>
        <w:spacing w:line="276" w:lineRule="auto"/>
        <w:ind w:right="0" w:firstLine="709"/>
        <w:rPr>
          <w:szCs w:val="24"/>
        </w:rPr>
      </w:pPr>
      <w:r w:rsidRPr="00A31DC0">
        <w:rPr>
          <w:szCs w:val="24"/>
        </w:rPr>
        <w:t>Для рынка труда городского округа Тольятти</w:t>
      </w:r>
      <w:r w:rsidR="00755AD0">
        <w:rPr>
          <w:szCs w:val="24"/>
        </w:rPr>
        <w:t>,</w:t>
      </w:r>
      <w:r w:rsidRPr="00A31DC0">
        <w:rPr>
          <w:szCs w:val="24"/>
        </w:rPr>
        <w:t xml:space="preserve"> по-прежнему</w:t>
      </w:r>
      <w:r w:rsidR="00755AD0">
        <w:rPr>
          <w:szCs w:val="24"/>
        </w:rPr>
        <w:t>,</w:t>
      </w:r>
      <w:r w:rsidRPr="00A31DC0">
        <w:rPr>
          <w:szCs w:val="24"/>
        </w:rPr>
        <w:t xml:space="preserve"> остаются характерными структурные диспропорции между спросом на рабочую силу и ее предложением. </w:t>
      </w:r>
    </w:p>
    <w:p w:rsidR="00A65FD4" w:rsidRPr="00A31DC0" w:rsidRDefault="00A65FD4" w:rsidP="00A65FD4">
      <w:pPr>
        <w:spacing w:line="276" w:lineRule="auto"/>
        <w:ind w:firstLine="709"/>
        <w:jc w:val="both"/>
        <w:rPr>
          <w:sz w:val="24"/>
          <w:szCs w:val="24"/>
        </w:rPr>
      </w:pPr>
      <w:r w:rsidRPr="00A31DC0">
        <w:rPr>
          <w:sz w:val="24"/>
          <w:szCs w:val="24"/>
        </w:rPr>
        <w:t xml:space="preserve">В городском округе Тольятти активно реализуются мероприятия по стабилизации ситуации на рынке труда. </w:t>
      </w:r>
    </w:p>
    <w:p w:rsidR="00A65FD4" w:rsidRPr="00A31DC0" w:rsidRDefault="00A65FD4" w:rsidP="00A65FD4">
      <w:pPr>
        <w:spacing w:line="276" w:lineRule="auto"/>
        <w:ind w:firstLine="709"/>
        <w:jc w:val="both"/>
        <w:rPr>
          <w:sz w:val="24"/>
          <w:szCs w:val="24"/>
        </w:rPr>
      </w:pPr>
      <w:r w:rsidRPr="00A31DC0">
        <w:rPr>
          <w:sz w:val="24"/>
          <w:szCs w:val="24"/>
        </w:rPr>
        <w:t xml:space="preserve">Еженедельно ГКУСО «Центр занятости населения г.о.Тольятти» совместно с администрацией городского округа Тольятти осуществляется мониторинг ситуации на рынке труда города, который позволяет отслеживать и оперативно принимать меры по смягчению сложившейся ситуации. </w:t>
      </w:r>
    </w:p>
    <w:p w:rsidR="00A65FD4" w:rsidRPr="00A31DC0" w:rsidRDefault="00A65FD4" w:rsidP="00A65FD4">
      <w:pPr>
        <w:pStyle w:val="27"/>
        <w:numPr>
          <w:ilvl w:val="0"/>
          <w:numId w:val="5"/>
        </w:numPr>
        <w:spacing w:after="0" w:line="276" w:lineRule="auto"/>
        <w:ind w:left="0" w:firstLine="709"/>
        <w:jc w:val="both"/>
        <w:rPr>
          <w:szCs w:val="24"/>
        </w:rPr>
      </w:pPr>
      <w:r w:rsidRPr="00A31DC0">
        <w:rPr>
          <w:szCs w:val="24"/>
        </w:rPr>
        <w:t xml:space="preserve">Администрацией ведется активная работа по привлечению в город новых инвестиционных проектов, осуществляется мониторинг деятельности действующих и создания новых крупных инфраструктурных площадок для реализации инвестиционных проектов. Это - ОЭЗ «Тольятти», технопарк «Жигулевская долина», ИП «Тольяттисинтез». На данных площадках уже создано 3,5 тыс. новых рабочих мест (с начала работы площадок). </w:t>
      </w:r>
    </w:p>
    <w:p w:rsidR="00A65FD4" w:rsidRPr="00683D33" w:rsidRDefault="00A65FD4" w:rsidP="00A65FD4">
      <w:pPr>
        <w:pStyle w:val="aff1"/>
        <w:numPr>
          <w:ilvl w:val="0"/>
          <w:numId w:val="5"/>
        </w:numPr>
        <w:spacing w:line="276" w:lineRule="auto"/>
        <w:ind w:left="0" w:firstLine="709"/>
        <w:rPr>
          <w:sz w:val="24"/>
          <w:szCs w:val="24"/>
        </w:rPr>
      </w:pPr>
      <w:r w:rsidRPr="00A31DC0">
        <w:rPr>
          <w:sz w:val="24"/>
          <w:szCs w:val="24"/>
        </w:rPr>
        <w:t xml:space="preserve">В настоящее время в ОЭЗ ППТ «Тольятти» </w:t>
      </w:r>
      <w:r w:rsidRPr="00683D33">
        <w:rPr>
          <w:sz w:val="24"/>
          <w:szCs w:val="24"/>
        </w:rPr>
        <w:t>создано 752 постоянных рабочих места.</w:t>
      </w:r>
    </w:p>
    <w:p w:rsidR="00A65FD4" w:rsidRPr="00A31DC0" w:rsidRDefault="00A65FD4" w:rsidP="00A65FD4">
      <w:pPr>
        <w:pStyle w:val="aff1"/>
        <w:numPr>
          <w:ilvl w:val="0"/>
          <w:numId w:val="5"/>
        </w:numPr>
        <w:spacing w:line="276" w:lineRule="auto"/>
        <w:ind w:left="0" w:firstLine="709"/>
        <w:rPr>
          <w:sz w:val="24"/>
          <w:szCs w:val="24"/>
        </w:rPr>
      </w:pPr>
      <w:r w:rsidRPr="00683D33">
        <w:rPr>
          <w:sz w:val="24"/>
          <w:szCs w:val="24"/>
        </w:rPr>
        <w:t>Резидентами технопарка «Жигулевская долина» создано 2730 постоянных рабочих мест (при этом одна компания, ООО</w:t>
      </w:r>
      <w:r w:rsidRPr="00A31DC0">
        <w:rPr>
          <w:sz w:val="24"/>
          <w:szCs w:val="24"/>
        </w:rPr>
        <w:t xml:space="preserve"> «БИА» - является резидентом ТОСЭР). </w:t>
      </w:r>
    </w:p>
    <w:p w:rsidR="00A65FD4" w:rsidRPr="00A31DC0" w:rsidRDefault="00A65FD4" w:rsidP="00A65FD4">
      <w:pPr>
        <w:pStyle w:val="aff1"/>
        <w:numPr>
          <w:ilvl w:val="0"/>
          <w:numId w:val="5"/>
        </w:numPr>
        <w:spacing w:line="276" w:lineRule="auto"/>
        <w:ind w:left="0" w:firstLine="709"/>
        <w:rPr>
          <w:sz w:val="24"/>
          <w:szCs w:val="24"/>
        </w:rPr>
      </w:pPr>
      <w:r w:rsidRPr="00A31DC0">
        <w:rPr>
          <w:sz w:val="24"/>
          <w:szCs w:val="24"/>
        </w:rPr>
        <w:t xml:space="preserve">В рамках реализации проекта Индустриальный парк «Тольяттисинтез» создано 19 постоянных рабочих мест.  </w:t>
      </w:r>
    </w:p>
    <w:p w:rsidR="00A65FD4" w:rsidRPr="00A31DC0" w:rsidRDefault="00A65FD4" w:rsidP="00A65FD4">
      <w:pPr>
        <w:pStyle w:val="afc"/>
        <w:numPr>
          <w:ilvl w:val="0"/>
          <w:numId w:val="5"/>
        </w:numPr>
        <w:suppressAutoHyphens w:val="0"/>
        <w:spacing w:line="276" w:lineRule="auto"/>
        <w:ind w:left="0" w:firstLine="709"/>
        <w:contextualSpacing/>
        <w:jc w:val="both"/>
        <w:rPr>
          <w:szCs w:val="24"/>
        </w:rPr>
      </w:pPr>
      <w:r w:rsidRPr="00A31DC0">
        <w:rPr>
          <w:szCs w:val="24"/>
        </w:rPr>
        <w:t>В конце 2016 года Тольятти присвоен статус территории опережающего социально-экономического развития, который  открыл новые возможности для развития города.</w:t>
      </w:r>
    </w:p>
    <w:p w:rsidR="00A65FD4" w:rsidRPr="00F40CE8" w:rsidRDefault="00A65FD4" w:rsidP="00A65FD4">
      <w:pPr>
        <w:pStyle w:val="afc"/>
        <w:widowControl w:val="0"/>
        <w:numPr>
          <w:ilvl w:val="0"/>
          <w:numId w:val="5"/>
        </w:numPr>
        <w:suppressAutoHyphens w:val="0"/>
        <w:spacing w:line="276" w:lineRule="auto"/>
        <w:ind w:left="0" w:firstLine="709"/>
        <w:contextualSpacing/>
        <w:jc w:val="both"/>
        <w:rPr>
          <w:szCs w:val="24"/>
        </w:rPr>
      </w:pPr>
      <w:r w:rsidRPr="00F40CE8">
        <w:rPr>
          <w:szCs w:val="24"/>
        </w:rPr>
        <w:t>В результате реализации проектов 1</w:t>
      </w:r>
      <w:r w:rsidR="00F40CE8" w:rsidRPr="00F40CE8">
        <w:rPr>
          <w:szCs w:val="24"/>
        </w:rPr>
        <w:t>4</w:t>
      </w:r>
      <w:r w:rsidRPr="00F40CE8">
        <w:rPr>
          <w:szCs w:val="24"/>
        </w:rPr>
        <w:t xml:space="preserve"> компаниями</w:t>
      </w:r>
      <w:r w:rsidR="00590E96" w:rsidRPr="00F40CE8">
        <w:rPr>
          <w:szCs w:val="24"/>
        </w:rPr>
        <w:t>-резидентами</w:t>
      </w:r>
      <w:r w:rsidRPr="00F40CE8">
        <w:rPr>
          <w:szCs w:val="24"/>
        </w:rPr>
        <w:t xml:space="preserve"> запланировано создание 1</w:t>
      </w:r>
      <w:r w:rsidR="007538B6" w:rsidRPr="00F40CE8">
        <w:rPr>
          <w:szCs w:val="24"/>
        </w:rPr>
        <w:t>,</w:t>
      </w:r>
      <w:r w:rsidR="00F40CE8" w:rsidRPr="00F40CE8">
        <w:rPr>
          <w:szCs w:val="24"/>
        </w:rPr>
        <w:t>35</w:t>
      </w:r>
      <w:r w:rsidRPr="00F40CE8">
        <w:rPr>
          <w:szCs w:val="24"/>
        </w:rPr>
        <w:t xml:space="preserve"> </w:t>
      </w:r>
      <w:r w:rsidR="007538B6" w:rsidRPr="00F40CE8">
        <w:rPr>
          <w:szCs w:val="24"/>
        </w:rPr>
        <w:t>тыс.рабочих мест</w:t>
      </w:r>
      <w:r w:rsidR="00F40CE8">
        <w:rPr>
          <w:szCs w:val="24"/>
        </w:rPr>
        <w:t>, в том числе в 2017 году – 0,4 тыс.мест.</w:t>
      </w:r>
    </w:p>
    <w:p w:rsidR="00A65FD4" w:rsidRPr="00A31DC0" w:rsidRDefault="00A65FD4" w:rsidP="00A65FD4">
      <w:pPr>
        <w:pStyle w:val="afc"/>
        <w:widowControl w:val="0"/>
        <w:numPr>
          <w:ilvl w:val="0"/>
          <w:numId w:val="5"/>
        </w:numPr>
        <w:suppressAutoHyphens w:val="0"/>
        <w:spacing w:line="276" w:lineRule="auto"/>
        <w:ind w:left="0" w:firstLine="709"/>
        <w:contextualSpacing/>
        <w:jc w:val="both"/>
        <w:rPr>
          <w:rFonts w:eastAsia="Calibri"/>
          <w:szCs w:val="24"/>
          <w:lang w:eastAsia="en-US"/>
        </w:rPr>
      </w:pPr>
      <w:r w:rsidRPr="00B759E8">
        <w:rPr>
          <w:rFonts w:eastAsia="Calibri"/>
          <w:szCs w:val="24"/>
          <w:lang w:eastAsia="en-US"/>
        </w:rPr>
        <w:t xml:space="preserve">Важное значение для города приобрел проект по созданию  Центра корпоративных решений ПАО «Сбербанк» на площадях индустриального парка «АВТОВАЗ», в рамках реализации которого планируется создание </w:t>
      </w:r>
      <w:r w:rsidR="00F40CE8">
        <w:rPr>
          <w:rFonts w:eastAsia="Calibri"/>
          <w:szCs w:val="24"/>
          <w:lang w:eastAsia="en-US"/>
        </w:rPr>
        <w:t>более</w:t>
      </w:r>
      <w:r w:rsidRPr="00B759E8">
        <w:rPr>
          <w:rFonts w:eastAsia="Calibri"/>
          <w:szCs w:val="24"/>
          <w:lang w:eastAsia="en-US"/>
        </w:rPr>
        <w:t xml:space="preserve"> </w:t>
      </w:r>
      <w:r w:rsidR="007538B6" w:rsidRPr="00B759E8">
        <w:rPr>
          <w:rFonts w:eastAsia="Calibri"/>
          <w:szCs w:val="24"/>
          <w:lang w:eastAsia="en-US"/>
        </w:rPr>
        <w:t>7</w:t>
      </w:r>
      <w:r w:rsidR="00F40CE8">
        <w:rPr>
          <w:rFonts w:eastAsia="Calibri"/>
          <w:szCs w:val="24"/>
          <w:lang w:eastAsia="en-US"/>
        </w:rPr>
        <w:t>0</w:t>
      </w:r>
      <w:r w:rsidR="007538B6" w:rsidRPr="00B759E8">
        <w:rPr>
          <w:rFonts w:eastAsia="Calibri"/>
          <w:szCs w:val="24"/>
          <w:lang w:eastAsia="en-US"/>
        </w:rPr>
        <w:t>0</w:t>
      </w:r>
      <w:r w:rsidRPr="00B759E8">
        <w:rPr>
          <w:rFonts w:eastAsia="Calibri"/>
          <w:szCs w:val="24"/>
          <w:lang w:eastAsia="en-US"/>
        </w:rPr>
        <w:t xml:space="preserve"> новых рабочих мест.</w:t>
      </w:r>
    </w:p>
    <w:p w:rsidR="00A65FD4" w:rsidRPr="00A31DC0" w:rsidRDefault="00A65FD4" w:rsidP="00A65FD4">
      <w:pPr>
        <w:pStyle w:val="1f5"/>
        <w:widowControl w:val="0"/>
        <w:numPr>
          <w:ilvl w:val="0"/>
          <w:numId w:val="5"/>
        </w:numPr>
        <w:suppressAutoHyphens w:val="0"/>
        <w:spacing w:after="0"/>
        <w:ind w:left="0" w:firstLine="709"/>
        <w:rPr>
          <w:rFonts w:eastAsia="Times New Roman"/>
          <w:sz w:val="24"/>
          <w:szCs w:val="24"/>
          <w:lang w:val="ru-RU"/>
        </w:rPr>
      </w:pPr>
      <w:r w:rsidRPr="00A31DC0">
        <w:rPr>
          <w:rFonts w:eastAsia="Times New Roman"/>
          <w:sz w:val="24"/>
          <w:szCs w:val="24"/>
          <w:lang w:val="ru-RU"/>
        </w:rPr>
        <w:t>Продолжилась работа в рамках государственных программ по содействию занятости населения</w:t>
      </w:r>
      <w:r w:rsidRPr="00A31DC0">
        <w:rPr>
          <w:sz w:val="24"/>
          <w:szCs w:val="24"/>
          <w:lang w:val="ru-RU"/>
        </w:rPr>
        <w:t xml:space="preserve"> и снижению напряженности на рынке труда</w:t>
      </w:r>
      <w:r w:rsidRPr="00A31DC0">
        <w:rPr>
          <w:rFonts w:eastAsia="Times New Roman"/>
          <w:sz w:val="24"/>
          <w:szCs w:val="24"/>
          <w:lang w:val="ru-RU"/>
        </w:rPr>
        <w:t>, а также муниципальных программ по развитию малого и среднего предпринимательства, по временному трудоустройству  молодежи.</w:t>
      </w:r>
    </w:p>
    <w:p w:rsidR="00A65FD4" w:rsidRPr="00A31DC0" w:rsidRDefault="00A65FD4" w:rsidP="00A65FD4">
      <w:pPr>
        <w:spacing w:line="276" w:lineRule="auto"/>
        <w:ind w:firstLine="709"/>
        <w:jc w:val="both"/>
        <w:rPr>
          <w:sz w:val="24"/>
          <w:szCs w:val="24"/>
        </w:rPr>
      </w:pPr>
      <w:r w:rsidRPr="00A31DC0">
        <w:rPr>
          <w:sz w:val="24"/>
          <w:szCs w:val="24"/>
        </w:rPr>
        <w:t>В рамках государственной Программы содействия занятости населения Самарской области на 2014-2020 годы в городском округе Тольятти из числа обратившихся в 1 полугодии 2017 года было трудоустроено 4,6 тыс. чел., количество созданных рабочих мест составило 2,8 тыс. ед. (за 8 месяцев 2017 г. – 6,5 тыс. чел. и 3,0 тыс. ед. соответственно).</w:t>
      </w:r>
    </w:p>
    <w:p w:rsidR="00A65FD4" w:rsidRPr="00A31DC0" w:rsidRDefault="00A65FD4" w:rsidP="00A65FD4">
      <w:pPr>
        <w:pStyle w:val="ConsPlusTitle"/>
        <w:spacing w:line="276" w:lineRule="auto"/>
        <w:ind w:firstLine="709"/>
        <w:jc w:val="both"/>
        <w:rPr>
          <w:rFonts w:ascii="Times New Roman" w:hAnsi="Times New Roman" w:cs="Times New Roman"/>
          <w:b w:val="0"/>
          <w:sz w:val="24"/>
          <w:szCs w:val="24"/>
        </w:rPr>
      </w:pPr>
      <w:r w:rsidRPr="00A31DC0">
        <w:rPr>
          <w:rFonts w:ascii="Times New Roman" w:hAnsi="Times New Roman" w:cs="Times New Roman"/>
          <w:b w:val="0"/>
          <w:sz w:val="24"/>
          <w:szCs w:val="24"/>
        </w:rPr>
        <w:t xml:space="preserve">В рамках Программы дополнительных мероприятий по снижению напряженности на рынке труда Самарской области в 2017 </w:t>
      </w:r>
      <w:r w:rsidRPr="007B747A">
        <w:rPr>
          <w:rFonts w:ascii="Times New Roman" w:hAnsi="Times New Roman" w:cs="Times New Roman"/>
          <w:b w:val="0"/>
          <w:sz w:val="24"/>
          <w:szCs w:val="24"/>
        </w:rPr>
        <w:t xml:space="preserve">году (постановление Правительства Самарской области от 29.08.2017 г. № 561) плановое количество участников </w:t>
      </w:r>
      <w:r w:rsidR="00F40CE8" w:rsidRPr="007B747A">
        <w:rPr>
          <w:rFonts w:ascii="Times New Roman" w:hAnsi="Times New Roman" w:cs="Times New Roman"/>
          <w:b w:val="0"/>
          <w:sz w:val="24"/>
          <w:szCs w:val="24"/>
        </w:rPr>
        <w:t xml:space="preserve">программы </w:t>
      </w:r>
      <w:r w:rsidRPr="007B747A">
        <w:rPr>
          <w:rFonts w:ascii="Times New Roman" w:hAnsi="Times New Roman" w:cs="Times New Roman"/>
          <w:b w:val="0"/>
          <w:sz w:val="24"/>
          <w:szCs w:val="24"/>
        </w:rPr>
        <w:t>в городском округе Тольятти составляет 7131 чел., из них 5131 чел. - численность занятых работников из числа высвобождаемых из организаций - производителей</w:t>
      </w:r>
      <w:r w:rsidRPr="00A31DC0">
        <w:rPr>
          <w:rFonts w:ascii="Times New Roman" w:hAnsi="Times New Roman" w:cs="Times New Roman"/>
          <w:b w:val="0"/>
          <w:sz w:val="24"/>
          <w:szCs w:val="24"/>
        </w:rPr>
        <w:t xml:space="preserve"> легковых автомобилей, 2000 чел. - численность работников, участвующих в профессиональной подготовке, переподготовке и повышении квалификации.</w:t>
      </w:r>
      <w:r w:rsidRPr="00A31DC0">
        <w:rPr>
          <w:rFonts w:ascii="Times New Roman" w:hAnsi="Times New Roman" w:cs="Times New Roman"/>
          <w:sz w:val="24"/>
          <w:szCs w:val="24"/>
        </w:rPr>
        <w:t xml:space="preserve"> </w:t>
      </w:r>
      <w:r w:rsidRPr="00A31DC0">
        <w:rPr>
          <w:rFonts w:ascii="Times New Roman" w:hAnsi="Times New Roman" w:cs="Times New Roman"/>
          <w:b w:val="0"/>
          <w:sz w:val="24"/>
          <w:szCs w:val="24"/>
        </w:rPr>
        <w:t>Общий объем финансирования мероприятий Программы составляет 462</w:t>
      </w:r>
      <w:r w:rsidR="00F40CE8">
        <w:rPr>
          <w:rFonts w:ascii="Times New Roman" w:hAnsi="Times New Roman" w:cs="Times New Roman"/>
          <w:b w:val="0"/>
          <w:sz w:val="24"/>
          <w:szCs w:val="24"/>
        </w:rPr>
        <w:t>,</w:t>
      </w:r>
      <w:r w:rsidRPr="00A31DC0">
        <w:rPr>
          <w:rFonts w:ascii="Times New Roman" w:hAnsi="Times New Roman" w:cs="Times New Roman"/>
          <w:b w:val="0"/>
          <w:sz w:val="24"/>
          <w:szCs w:val="24"/>
        </w:rPr>
        <w:t xml:space="preserve">3 </w:t>
      </w:r>
      <w:r w:rsidR="00F40CE8">
        <w:rPr>
          <w:rFonts w:ascii="Times New Roman" w:hAnsi="Times New Roman" w:cs="Times New Roman"/>
          <w:b w:val="0"/>
          <w:sz w:val="24"/>
          <w:szCs w:val="24"/>
        </w:rPr>
        <w:t>млн</w:t>
      </w:r>
      <w:r w:rsidRPr="00A31DC0">
        <w:rPr>
          <w:rFonts w:ascii="Times New Roman" w:hAnsi="Times New Roman" w:cs="Times New Roman"/>
          <w:b w:val="0"/>
          <w:sz w:val="24"/>
          <w:szCs w:val="24"/>
        </w:rPr>
        <w:t>. рублей.</w:t>
      </w:r>
    </w:p>
    <w:p w:rsidR="00A65FD4" w:rsidRPr="00A31DC0" w:rsidRDefault="00A65FD4" w:rsidP="00A65FD4">
      <w:pPr>
        <w:pStyle w:val="af9"/>
        <w:numPr>
          <w:ilvl w:val="0"/>
          <w:numId w:val="5"/>
        </w:numPr>
        <w:suppressAutoHyphens w:val="0"/>
        <w:spacing w:line="276" w:lineRule="auto"/>
        <w:ind w:left="0" w:firstLine="709"/>
        <w:jc w:val="both"/>
        <w:rPr>
          <w:rFonts w:ascii="Times New Roman" w:hAnsi="Times New Roman" w:cs="Times New Roman"/>
          <w:sz w:val="24"/>
          <w:szCs w:val="24"/>
        </w:rPr>
      </w:pPr>
      <w:r w:rsidRPr="00A31DC0">
        <w:rPr>
          <w:rFonts w:ascii="Times New Roman" w:hAnsi="Times New Roman" w:cs="Times New Roman"/>
          <w:sz w:val="24"/>
          <w:szCs w:val="24"/>
        </w:rPr>
        <w:t>В рамках муниципальной программы городского округа Тольятти «Развитие малого и среднего предпринимательства городского округа Тольятти на 2014-2017 годы», утвержденной постановлением мэрии городского округа Тольятти от 11.10.2013 № 3150-п/1,</w:t>
      </w:r>
      <w:r w:rsidR="00F40CE8">
        <w:rPr>
          <w:rFonts w:ascii="Times New Roman" w:hAnsi="Times New Roman" w:cs="Times New Roman"/>
          <w:sz w:val="24"/>
          <w:szCs w:val="24"/>
        </w:rPr>
        <w:t xml:space="preserve"> </w:t>
      </w:r>
      <w:r w:rsidRPr="00A31DC0">
        <w:rPr>
          <w:rFonts w:ascii="Times New Roman" w:hAnsi="Times New Roman" w:cs="Times New Roman"/>
          <w:sz w:val="24"/>
          <w:szCs w:val="24"/>
        </w:rPr>
        <w:t>СМСП оказывается финансовая, имущественная, информационная и консультационная помощь.</w:t>
      </w:r>
    </w:p>
    <w:p w:rsidR="00A65FD4" w:rsidRPr="00A31DC0" w:rsidRDefault="00A65FD4" w:rsidP="00A65FD4">
      <w:pPr>
        <w:spacing w:line="276" w:lineRule="auto"/>
        <w:ind w:firstLine="709"/>
        <w:jc w:val="both"/>
        <w:rPr>
          <w:sz w:val="24"/>
          <w:szCs w:val="24"/>
        </w:rPr>
      </w:pPr>
      <w:r w:rsidRPr="00A31DC0">
        <w:rPr>
          <w:sz w:val="24"/>
          <w:szCs w:val="24"/>
        </w:rPr>
        <w:t>В ходе реализации муниципальной программы по организации работы с детьми и молодежью в городском округе Тольятти «Молодежь Тольятти» на 2014-2020 гг. за 1 полугодие 2017 года трудоустроено на   временные работы 0,7 тыс. несовершеннолетних граждан.</w:t>
      </w:r>
    </w:p>
    <w:p w:rsidR="00A65FD4" w:rsidRPr="00A31DC0" w:rsidRDefault="00A65FD4" w:rsidP="00A65FD4">
      <w:pPr>
        <w:pStyle w:val="afc"/>
        <w:widowControl w:val="0"/>
        <w:numPr>
          <w:ilvl w:val="0"/>
          <w:numId w:val="5"/>
        </w:numPr>
        <w:suppressAutoHyphens w:val="0"/>
        <w:spacing w:line="276" w:lineRule="auto"/>
        <w:ind w:left="0" w:firstLine="709"/>
        <w:contextualSpacing/>
        <w:jc w:val="both"/>
        <w:rPr>
          <w:szCs w:val="24"/>
        </w:rPr>
      </w:pPr>
      <w:r w:rsidRPr="00A31DC0">
        <w:rPr>
          <w:szCs w:val="24"/>
        </w:rPr>
        <w:t xml:space="preserve">По данным органов статистики, в 1 полугодии 2017 года в организациях, не относящихся к субъектам малого предпринимательства, создано 0,8 тыс. новых рабочих мест. </w:t>
      </w:r>
    </w:p>
    <w:p w:rsidR="00F40CE8" w:rsidRDefault="00A65FD4" w:rsidP="0052727C">
      <w:pPr>
        <w:pStyle w:val="afc"/>
        <w:numPr>
          <w:ilvl w:val="0"/>
          <w:numId w:val="5"/>
        </w:numPr>
        <w:suppressAutoHyphens w:val="0"/>
        <w:spacing w:line="276" w:lineRule="auto"/>
        <w:ind w:left="0" w:firstLine="709"/>
        <w:contextualSpacing/>
        <w:jc w:val="both"/>
        <w:rPr>
          <w:szCs w:val="24"/>
          <w:lang w:eastAsia="ru-RU"/>
        </w:rPr>
      </w:pPr>
      <w:r w:rsidRPr="00F40CE8">
        <w:rPr>
          <w:szCs w:val="24"/>
          <w:lang w:eastAsia="ru-RU"/>
        </w:rPr>
        <w:t xml:space="preserve">Реализуются мероприятия Комплексного инвестиционного плана модернизации городского округа Тольятти Самарской области на 2010-2020 годы (КИП). </w:t>
      </w:r>
    </w:p>
    <w:p w:rsidR="00683D33" w:rsidRPr="00F40CE8" w:rsidRDefault="00683D33" w:rsidP="0052727C">
      <w:pPr>
        <w:pStyle w:val="afc"/>
        <w:numPr>
          <w:ilvl w:val="0"/>
          <w:numId w:val="5"/>
        </w:numPr>
        <w:suppressAutoHyphens w:val="0"/>
        <w:spacing w:line="276" w:lineRule="auto"/>
        <w:ind w:left="0" w:firstLine="709"/>
        <w:contextualSpacing/>
        <w:jc w:val="both"/>
        <w:rPr>
          <w:szCs w:val="24"/>
          <w:lang w:eastAsia="ru-RU"/>
        </w:rPr>
      </w:pPr>
      <w:r w:rsidRPr="00F40CE8">
        <w:rPr>
          <w:szCs w:val="24"/>
          <w:lang w:eastAsia="ru-RU"/>
        </w:rPr>
        <w:t>Реализуются инвестиционные проекты по строительству социальных объектов в городе в рамках Плана мероприятий 50-летия ПАО «АВТОВАЗ», программы «Комплексное развитие моногорода – городской округ Тольятти», которые позволят создать новые временные и постоянные рабочие места</w:t>
      </w:r>
    </w:p>
    <w:p w:rsidR="00A65FD4" w:rsidRPr="00A31DC0" w:rsidRDefault="00A65FD4" w:rsidP="0052727C">
      <w:pPr>
        <w:spacing w:line="276" w:lineRule="auto"/>
        <w:ind w:firstLine="709"/>
        <w:jc w:val="both"/>
        <w:rPr>
          <w:sz w:val="24"/>
          <w:szCs w:val="24"/>
          <w:lang w:eastAsia="ru-RU"/>
        </w:rPr>
      </w:pPr>
      <w:r w:rsidRPr="00A31DC0">
        <w:rPr>
          <w:sz w:val="24"/>
          <w:szCs w:val="24"/>
          <w:lang w:eastAsia="ru-RU"/>
        </w:rPr>
        <w:t>В администрации городского округа Тольятти регулярно проводятся заседания Координационного совета и городской трехсторонней комиссии по регулированию социально-трудовых отношений, где рассматриваются текущая ситуация на рынке труда, а также вопросы, связанные с реализацией мероприятий, направленных на снижение напряженности на рынке труда городского округа Тольятти.</w:t>
      </w:r>
    </w:p>
    <w:p w:rsidR="00A65FD4" w:rsidRPr="00A31DC0" w:rsidRDefault="00A65FD4" w:rsidP="0052727C">
      <w:pPr>
        <w:pStyle w:val="afa"/>
        <w:numPr>
          <w:ilvl w:val="0"/>
          <w:numId w:val="5"/>
        </w:numPr>
        <w:suppressAutoHyphens w:val="0"/>
        <w:spacing w:after="0" w:line="276" w:lineRule="auto"/>
        <w:ind w:left="0" w:firstLine="709"/>
        <w:jc w:val="both"/>
      </w:pPr>
      <w:r w:rsidRPr="00A31DC0">
        <w:t>Тем не менее, далеко не все занятые поиском работы граждане в городе имеют возможность трудоустроиться, даже с учетом действия ТОСЭР</w:t>
      </w:r>
      <w:r w:rsidR="00590E96">
        <w:t xml:space="preserve"> «Тольятти»</w:t>
      </w:r>
      <w:r w:rsidRPr="00A31DC0">
        <w:t>, так как количество высвобожденных в предшествующие годы работников было слишком велико.</w:t>
      </w:r>
    </w:p>
    <w:p w:rsidR="00A65FD4" w:rsidRPr="00A31DC0" w:rsidRDefault="00A65FD4" w:rsidP="0052727C">
      <w:pPr>
        <w:pStyle w:val="afa"/>
        <w:numPr>
          <w:ilvl w:val="0"/>
          <w:numId w:val="5"/>
        </w:numPr>
        <w:suppressAutoHyphens w:val="0"/>
        <w:spacing w:after="0" w:line="276" w:lineRule="auto"/>
        <w:ind w:left="0" w:firstLine="709"/>
        <w:jc w:val="both"/>
      </w:pPr>
      <w:r w:rsidRPr="00A31DC0">
        <w:t xml:space="preserve">Поэтому, для того, чтобы не допустить ухудшения ситуации на рынке труда, которое может привести к снижению доходов населения города и значительному масштабу миграции, важно, чтобы массовые сокращения работников на ПАО «АВТОВАЗ» и других организаций города в ближайшие годы не повторились. </w:t>
      </w:r>
    </w:p>
    <w:p w:rsidR="00A31DC0" w:rsidRPr="00232823" w:rsidRDefault="00A31DC0" w:rsidP="00A65FD4">
      <w:pPr>
        <w:pStyle w:val="afa"/>
        <w:numPr>
          <w:ilvl w:val="0"/>
          <w:numId w:val="5"/>
        </w:numPr>
        <w:suppressAutoHyphens w:val="0"/>
        <w:spacing w:after="0" w:line="276" w:lineRule="auto"/>
        <w:ind w:left="0" w:firstLine="709"/>
        <w:jc w:val="both"/>
      </w:pPr>
    </w:p>
    <w:p w:rsidR="00B347E3" w:rsidRDefault="00A65FD4" w:rsidP="00A65FD4">
      <w:pPr>
        <w:pStyle w:val="230"/>
        <w:keepNext/>
        <w:keepLines/>
        <w:spacing w:after="0" w:line="276" w:lineRule="auto"/>
        <w:ind w:left="0"/>
        <w:jc w:val="center"/>
        <w:rPr>
          <w:bCs/>
          <w:sz w:val="24"/>
          <w:szCs w:val="24"/>
        </w:rPr>
      </w:pPr>
      <w:r w:rsidRPr="00E01243">
        <w:rPr>
          <w:bCs/>
          <w:sz w:val="24"/>
          <w:szCs w:val="24"/>
        </w:rPr>
        <w:t xml:space="preserve">Ожидаемое выполнение прогнозных показателей </w:t>
      </w:r>
    </w:p>
    <w:p w:rsidR="00A65FD4" w:rsidRPr="00E01243" w:rsidRDefault="00A65FD4" w:rsidP="00A65FD4">
      <w:pPr>
        <w:pStyle w:val="230"/>
        <w:keepNext/>
        <w:keepLines/>
        <w:spacing w:after="0" w:line="276" w:lineRule="auto"/>
        <w:ind w:left="0"/>
        <w:jc w:val="center"/>
        <w:rPr>
          <w:bCs/>
          <w:sz w:val="24"/>
          <w:szCs w:val="24"/>
        </w:rPr>
      </w:pPr>
      <w:r w:rsidRPr="00E01243">
        <w:rPr>
          <w:bCs/>
          <w:sz w:val="24"/>
          <w:szCs w:val="24"/>
        </w:rPr>
        <w:t>по разделу «Занятость населения» на 2017 год</w:t>
      </w:r>
    </w:p>
    <w:p w:rsidR="00A65FD4" w:rsidRPr="0023347A" w:rsidRDefault="00A65FD4" w:rsidP="00A65FD4">
      <w:pPr>
        <w:pStyle w:val="230"/>
        <w:keepNext/>
        <w:keepLines/>
        <w:spacing w:after="0" w:line="276" w:lineRule="auto"/>
        <w:ind w:left="0"/>
        <w:jc w:val="center"/>
        <w:rPr>
          <w:bCs/>
          <w:sz w:val="24"/>
          <w:szCs w:val="24"/>
          <w:highlight w:val="lightGray"/>
        </w:rPr>
      </w:pPr>
    </w:p>
    <w:tbl>
      <w:tblPr>
        <w:tblW w:w="9872" w:type="dxa"/>
        <w:tblInd w:w="-125" w:type="dxa"/>
        <w:tblLayout w:type="fixed"/>
        <w:tblLook w:val="0000" w:firstRow="0" w:lastRow="0" w:firstColumn="0" w:lastColumn="0" w:noHBand="0" w:noVBand="0"/>
      </w:tblPr>
      <w:tblGrid>
        <w:gridCol w:w="4061"/>
        <w:gridCol w:w="1275"/>
        <w:gridCol w:w="1701"/>
        <w:gridCol w:w="1418"/>
        <w:gridCol w:w="1417"/>
      </w:tblGrid>
      <w:tr w:rsidR="00A65FD4" w:rsidRPr="0023347A" w:rsidTr="00A65FD4">
        <w:trPr>
          <w:cantSplit/>
          <w:tblHeader/>
        </w:trPr>
        <w:tc>
          <w:tcPr>
            <w:tcW w:w="4061" w:type="dxa"/>
            <w:vMerge w:val="restart"/>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Показатели</w:t>
            </w:r>
          </w:p>
        </w:tc>
        <w:tc>
          <w:tcPr>
            <w:tcW w:w="1275" w:type="dxa"/>
            <w:vMerge w:val="restart"/>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Ед. изм.</w:t>
            </w:r>
          </w:p>
        </w:tc>
        <w:tc>
          <w:tcPr>
            <w:tcW w:w="3119" w:type="dxa"/>
            <w:gridSpan w:val="2"/>
            <w:tcBorders>
              <w:top w:val="single" w:sz="4" w:space="0" w:color="000000"/>
              <w:left w:val="single" w:sz="4" w:space="0" w:color="000000"/>
              <w:bottom w:val="single" w:sz="4" w:space="0" w:color="000000"/>
            </w:tcBorders>
          </w:tcPr>
          <w:p w:rsidR="00A65FD4" w:rsidRPr="00E01243" w:rsidRDefault="00A65FD4" w:rsidP="00A65FD4">
            <w:pPr>
              <w:jc w:val="center"/>
              <w:rPr>
                <w:sz w:val="24"/>
                <w:szCs w:val="24"/>
              </w:rPr>
            </w:pPr>
            <w:r w:rsidRPr="00E01243">
              <w:rPr>
                <w:sz w:val="24"/>
                <w:szCs w:val="24"/>
              </w:rPr>
              <w:t>Прогноз на 2017 год</w:t>
            </w:r>
          </w:p>
        </w:tc>
        <w:tc>
          <w:tcPr>
            <w:tcW w:w="1417" w:type="dxa"/>
            <w:vMerge w:val="restart"/>
            <w:tcBorders>
              <w:top w:val="single" w:sz="4" w:space="0" w:color="000000"/>
              <w:left w:val="single" w:sz="4" w:space="0" w:color="000000"/>
              <w:bottom w:val="single" w:sz="4" w:space="0" w:color="000000"/>
              <w:right w:val="single" w:sz="4" w:space="0" w:color="000000"/>
            </w:tcBorders>
          </w:tcPr>
          <w:p w:rsidR="00A65FD4" w:rsidRPr="00E01243" w:rsidRDefault="00A65FD4" w:rsidP="00A65FD4">
            <w:pPr>
              <w:jc w:val="center"/>
              <w:rPr>
                <w:sz w:val="24"/>
                <w:szCs w:val="24"/>
              </w:rPr>
            </w:pPr>
            <w:r w:rsidRPr="00E01243">
              <w:rPr>
                <w:sz w:val="24"/>
                <w:szCs w:val="24"/>
              </w:rPr>
              <w:t>2017 год (оценка)</w:t>
            </w:r>
          </w:p>
        </w:tc>
      </w:tr>
      <w:tr w:rsidR="00A65FD4" w:rsidRPr="0023347A" w:rsidTr="00A65FD4">
        <w:trPr>
          <w:cantSplit/>
          <w:tblHeader/>
        </w:trPr>
        <w:tc>
          <w:tcPr>
            <w:tcW w:w="4061" w:type="dxa"/>
            <w:vMerge/>
            <w:tcBorders>
              <w:top w:val="single" w:sz="4" w:space="0" w:color="000000"/>
              <w:left w:val="single" w:sz="4" w:space="0" w:color="000000"/>
              <w:bottom w:val="single" w:sz="4" w:space="0" w:color="000000"/>
            </w:tcBorders>
            <w:vAlign w:val="center"/>
          </w:tcPr>
          <w:p w:rsidR="00A65FD4" w:rsidRPr="00E01243" w:rsidRDefault="00A65FD4" w:rsidP="00A65FD4">
            <w:pPr>
              <w:keepNext/>
              <w:keepLines/>
              <w:snapToGrid w:val="0"/>
              <w:rPr>
                <w:sz w:val="24"/>
                <w:szCs w:val="24"/>
              </w:rPr>
            </w:pPr>
          </w:p>
        </w:tc>
        <w:tc>
          <w:tcPr>
            <w:tcW w:w="1275" w:type="dxa"/>
            <w:vMerge/>
            <w:tcBorders>
              <w:top w:val="single" w:sz="4" w:space="0" w:color="000000"/>
              <w:left w:val="single" w:sz="4" w:space="0" w:color="000000"/>
              <w:bottom w:val="single" w:sz="4" w:space="0" w:color="000000"/>
            </w:tcBorders>
            <w:vAlign w:val="center"/>
          </w:tcPr>
          <w:p w:rsidR="00A65FD4" w:rsidRPr="00E01243" w:rsidRDefault="00A65FD4" w:rsidP="00A65FD4">
            <w:pPr>
              <w:keepNext/>
              <w:keepLines/>
              <w:snapToGrid w:val="0"/>
              <w:rPr>
                <w:sz w:val="24"/>
                <w:szCs w:val="24"/>
              </w:rPr>
            </w:pPr>
          </w:p>
        </w:tc>
        <w:tc>
          <w:tcPr>
            <w:tcW w:w="1701" w:type="dxa"/>
            <w:tcBorders>
              <w:top w:val="single" w:sz="4" w:space="0" w:color="000000"/>
              <w:left w:val="single" w:sz="4" w:space="0" w:color="000000"/>
              <w:bottom w:val="single" w:sz="4" w:space="0" w:color="000000"/>
            </w:tcBorders>
            <w:vAlign w:val="center"/>
          </w:tcPr>
          <w:p w:rsidR="00A65FD4" w:rsidRPr="00E01243" w:rsidRDefault="00A65FD4" w:rsidP="00A65FD4">
            <w:pPr>
              <w:keepNext/>
              <w:keepLines/>
              <w:jc w:val="center"/>
              <w:rPr>
                <w:sz w:val="24"/>
                <w:szCs w:val="24"/>
              </w:rPr>
            </w:pPr>
            <w:r w:rsidRPr="00E01243">
              <w:rPr>
                <w:sz w:val="24"/>
                <w:szCs w:val="24"/>
              </w:rPr>
              <w:t>1 вариант</w:t>
            </w:r>
          </w:p>
        </w:tc>
        <w:tc>
          <w:tcPr>
            <w:tcW w:w="1418" w:type="dxa"/>
            <w:tcBorders>
              <w:top w:val="single" w:sz="4" w:space="0" w:color="000000"/>
              <w:left w:val="single" w:sz="4" w:space="0" w:color="000000"/>
              <w:bottom w:val="single" w:sz="4" w:space="0" w:color="000000"/>
            </w:tcBorders>
            <w:vAlign w:val="center"/>
          </w:tcPr>
          <w:p w:rsidR="00A65FD4" w:rsidRPr="00E01243" w:rsidRDefault="00A65FD4" w:rsidP="00A65FD4">
            <w:pPr>
              <w:keepNext/>
              <w:keepLines/>
              <w:jc w:val="center"/>
              <w:rPr>
                <w:sz w:val="24"/>
                <w:szCs w:val="24"/>
              </w:rPr>
            </w:pPr>
            <w:r w:rsidRPr="00E01243">
              <w:rPr>
                <w:sz w:val="24"/>
                <w:szCs w:val="24"/>
              </w:rPr>
              <w:t>2 вариант</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65FD4" w:rsidRPr="00E01243" w:rsidRDefault="00A65FD4" w:rsidP="00A65FD4">
            <w:pPr>
              <w:keepNext/>
              <w:keepLines/>
              <w:snapToGrid w:val="0"/>
              <w:jc w:val="center"/>
              <w:rPr>
                <w:sz w:val="24"/>
                <w:szCs w:val="24"/>
              </w:rPr>
            </w:pPr>
          </w:p>
        </w:tc>
      </w:tr>
      <w:tr w:rsidR="00A65FD4" w:rsidRPr="0023347A" w:rsidTr="00355505">
        <w:trPr>
          <w:trHeight w:val="479"/>
        </w:trPr>
        <w:tc>
          <w:tcPr>
            <w:tcW w:w="4061" w:type="dxa"/>
            <w:tcBorders>
              <w:top w:val="single" w:sz="4" w:space="0" w:color="000000"/>
              <w:left w:val="single" w:sz="4" w:space="0" w:color="000000"/>
              <w:bottom w:val="single" w:sz="4" w:space="0" w:color="000000"/>
            </w:tcBorders>
          </w:tcPr>
          <w:p w:rsidR="00A65FD4" w:rsidRPr="00E01243" w:rsidRDefault="00A65FD4" w:rsidP="00A65FD4">
            <w:pPr>
              <w:pStyle w:val="230"/>
              <w:keepNext/>
              <w:keepLines/>
              <w:spacing w:after="0" w:line="240" w:lineRule="auto"/>
              <w:ind w:left="0"/>
              <w:rPr>
                <w:sz w:val="24"/>
                <w:szCs w:val="24"/>
              </w:rPr>
            </w:pPr>
            <w:r w:rsidRPr="00E01243">
              <w:rPr>
                <w:sz w:val="24"/>
                <w:szCs w:val="24"/>
              </w:rPr>
              <w:t>Трудовые ресурсы</w:t>
            </w:r>
          </w:p>
        </w:tc>
        <w:tc>
          <w:tcPr>
            <w:tcW w:w="1275"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тыс. чел.</w:t>
            </w:r>
          </w:p>
        </w:tc>
        <w:tc>
          <w:tcPr>
            <w:tcW w:w="1701"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451,0</w:t>
            </w:r>
          </w:p>
        </w:tc>
        <w:tc>
          <w:tcPr>
            <w:tcW w:w="1418"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455,8</w:t>
            </w:r>
          </w:p>
        </w:tc>
        <w:tc>
          <w:tcPr>
            <w:tcW w:w="1417" w:type="dxa"/>
            <w:tcBorders>
              <w:top w:val="single" w:sz="4" w:space="0" w:color="000000"/>
              <w:left w:val="single" w:sz="4" w:space="0" w:color="000000"/>
              <w:bottom w:val="single" w:sz="4" w:space="0" w:color="000000"/>
              <w:right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458,3</w:t>
            </w:r>
          </w:p>
        </w:tc>
      </w:tr>
      <w:tr w:rsidR="00A65FD4" w:rsidRPr="0023347A" w:rsidTr="00355505">
        <w:trPr>
          <w:trHeight w:val="414"/>
        </w:trPr>
        <w:tc>
          <w:tcPr>
            <w:tcW w:w="4061" w:type="dxa"/>
            <w:tcBorders>
              <w:top w:val="single" w:sz="4" w:space="0" w:color="000000"/>
              <w:left w:val="single" w:sz="4" w:space="0" w:color="000000"/>
              <w:bottom w:val="single" w:sz="4" w:space="0" w:color="000000"/>
            </w:tcBorders>
          </w:tcPr>
          <w:p w:rsidR="00A65FD4" w:rsidRPr="00E01243" w:rsidRDefault="00A65FD4" w:rsidP="00A65FD4">
            <w:pPr>
              <w:pStyle w:val="230"/>
              <w:keepNext/>
              <w:keepLines/>
              <w:spacing w:after="0" w:line="240" w:lineRule="auto"/>
              <w:ind w:left="0"/>
              <w:rPr>
                <w:sz w:val="24"/>
                <w:szCs w:val="24"/>
              </w:rPr>
            </w:pPr>
            <w:r w:rsidRPr="00E01243">
              <w:rPr>
                <w:sz w:val="24"/>
                <w:szCs w:val="24"/>
              </w:rPr>
              <w:t>Занятые в экономике</w:t>
            </w:r>
          </w:p>
        </w:tc>
        <w:tc>
          <w:tcPr>
            <w:tcW w:w="1275"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тыс. чел.</w:t>
            </w:r>
          </w:p>
        </w:tc>
        <w:tc>
          <w:tcPr>
            <w:tcW w:w="1701"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336,8</w:t>
            </w:r>
          </w:p>
        </w:tc>
        <w:tc>
          <w:tcPr>
            <w:tcW w:w="1418"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341,7</w:t>
            </w:r>
          </w:p>
        </w:tc>
        <w:tc>
          <w:tcPr>
            <w:tcW w:w="1417" w:type="dxa"/>
            <w:tcBorders>
              <w:top w:val="single" w:sz="4" w:space="0" w:color="000000"/>
              <w:left w:val="single" w:sz="4" w:space="0" w:color="000000"/>
              <w:bottom w:val="single" w:sz="4" w:space="0" w:color="000000"/>
              <w:right w:val="single" w:sz="4" w:space="0" w:color="000000"/>
            </w:tcBorders>
            <w:vAlign w:val="center"/>
          </w:tcPr>
          <w:p w:rsidR="00A65FD4" w:rsidRPr="00E01243" w:rsidRDefault="00A65FD4" w:rsidP="00A65FD4">
            <w:pPr>
              <w:pStyle w:val="230"/>
              <w:keepNext/>
              <w:keepLines/>
              <w:spacing w:after="0" w:line="240" w:lineRule="auto"/>
              <w:ind w:left="0"/>
              <w:jc w:val="center"/>
              <w:rPr>
                <w:sz w:val="24"/>
                <w:szCs w:val="24"/>
              </w:rPr>
            </w:pPr>
            <w:r w:rsidRPr="00E01243">
              <w:rPr>
                <w:sz w:val="24"/>
                <w:szCs w:val="24"/>
              </w:rPr>
              <w:t>346,0</w:t>
            </w:r>
          </w:p>
        </w:tc>
      </w:tr>
      <w:tr w:rsidR="00A65FD4" w:rsidRPr="0023347A" w:rsidTr="00A65FD4">
        <w:tc>
          <w:tcPr>
            <w:tcW w:w="4061" w:type="dxa"/>
            <w:tcBorders>
              <w:top w:val="single" w:sz="4" w:space="0" w:color="000000"/>
              <w:left w:val="single" w:sz="4" w:space="0" w:color="000000"/>
              <w:bottom w:val="single" w:sz="4" w:space="0" w:color="000000"/>
            </w:tcBorders>
          </w:tcPr>
          <w:p w:rsidR="00A65FD4" w:rsidRPr="00E01243" w:rsidRDefault="00A65FD4" w:rsidP="00A65FD4">
            <w:pPr>
              <w:pStyle w:val="230"/>
              <w:spacing w:after="0" w:line="240" w:lineRule="auto"/>
              <w:ind w:left="0"/>
              <w:rPr>
                <w:sz w:val="24"/>
                <w:szCs w:val="24"/>
              </w:rPr>
            </w:pPr>
            <w:r w:rsidRPr="00E01243">
              <w:rPr>
                <w:sz w:val="24"/>
                <w:szCs w:val="24"/>
              </w:rPr>
              <w:t>Среднегодовая численность безработных, зарегистрированных в службе занятости</w:t>
            </w:r>
          </w:p>
        </w:tc>
        <w:tc>
          <w:tcPr>
            <w:tcW w:w="1275"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тыс. чел.</w:t>
            </w:r>
          </w:p>
        </w:tc>
        <w:tc>
          <w:tcPr>
            <w:tcW w:w="1701"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9,2</w:t>
            </w:r>
          </w:p>
        </w:tc>
        <w:tc>
          <w:tcPr>
            <w:tcW w:w="1418"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7,9</w:t>
            </w:r>
          </w:p>
        </w:tc>
        <w:tc>
          <w:tcPr>
            <w:tcW w:w="1417" w:type="dxa"/>
            <w:tcBorders>
              <w:top w:val="single" w:sz="4" w:space="0" w:color="000000"/>
              <w:left w:val="single" w:sz="4" w:space="0" w:color="000000"/>
              <w:bottom w:val="single" w:sz="4" w:space="0" w:color="000000"/>
              <w:right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7,0</w:t>
            </w:r>
          </w:p>
        </w:tc>
      </w:tr>
      <w:tr w:rsidR="00A65FD4" w:rsidRPr="0023347A" w:rsidTr="00A65FD4">
        <w:tc>
          <w:tcPr>
            <w:tcW w:w="4061" w:type="dxa"/>
            <w:tcBorders>
              <w:top w:val="single" w:sz="4" w:space="0" w:color="000000"/>
              <w:left w:val="single" w:sz="4" w:space="0" w:color="000000"/>
              <w:bottom w:val="single" w:sz="4" w:space="0" w:color="000000"/>
            </w:tcBorders>
          </w:tcPr>
          <w:p w:rsidR="00A65FD4" w:rsidRPr="00E01243" w:rsidRDefault="00A65FD4" w:rsidP="00A65FD4">
            <w:pPr>
              <w:pStyle w:val="230"/>
              <w:spacing w:after="0" w:line="240" w:lineRule="auto"/>
              <w:ind w:left="0"/>
              <w:rPr>
                <w:sz w:val="24"/>
                <w:szCs w:val="24"/>
              </w:rPr>
            </w:pPr>
            <w:r w:rsidRPr="00E01243">
              <w:rPr>
                <w:sz w:val="24"/>
                <w:szCs w:val="24"/>
              </w:rPr>
              <w:t>Уровень официальной безработицы относительно населения в трудоспособном возрасте</w:t>
            </w:r>
          </w:p>
        </w:tc>
        <w:tc>
          <w:tcPr>
            <w:tcW w:w="1275"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w:t>
            </w:r>
          </w:p>
        </w:tc>
        <w:tc>
          <w:tcPr>
            <w:tcW w:w="1701"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2,3</w:t>
            </w:r>
          </w:p>
        </w:tc>
        <w:tc>
          <w:tcPr>
            <w:tcW w:w="1418" w:type="dxa"/>
            <w:tcBorders>
              <w:top w:val="single" w:sz="4" w:space="0" w:color="000000"/>
              <w:left w:val="single" w:sz="4" w:space="0" w:color="000000"/>
              <w:bottom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A65FD4" w:rsidRPr="00E01243" w:rsidRDefault="00A65FD4" w:rsidP="00A65FD4">
            <w:pPr>
              <w:pStyle w:val="230"/>
              <w:spacing w:after="0" w:line="240" w:lineRule="auto"/>
              <w:ind w:left="0"/>
              <w:jc w:val="center"/>
              <w:rPr>
                <w:sz w:val="24"/>
                <w:szCs w:val="24"/>
              </w:rPr>
            </w:pPr>
            <w:r w:rsidRPr="00E01243">
              <w:rPr>
                <w:sz w:val="24"/>
                <w:szCs w:val="24"/>
              </w:rPr>
              <w:t>1,7</w:t>
            </w:r>
          </w:p>
        </w:tc>
      </w:tr>
    </w:tbl>
    <w:p w:rsidR="00A65FD4" w:rsidRPr="0023347A" w:rsidRDefault="00A65FD4" w:rsidP="00A65FD4">
      <w:pPr>
        <w:pStyle w:val="af6"/>
        <w:tabs>
          <w:tab w:val="left" w:pos="1134"/>
        </w:tabs>
        <w:spacing w:line="276" w:lineRule="auto"/>
        <w:ind w:right="0" w:firstLine="709"/>
        <w:rPr>
          <w:szCs w:val="24"/>
          <w:highlight w:val="lightGray"/>
        </w:rPr>
      </w:pPr>
    </w:p>
    <w:p w:rsidR="00A65FD4" w:rsidRPr="00845756" w:rsidRDefault="00A65FD4" w:rsidP="00B759E8">
      <w:pPr>
        <w:pStyle w:val="af6"/>
        <w:tabs>
          <w:tab w:val="left" w:pos="1134"/>
        </w:tabs>
        <w:spacing w:line="276" w:lineRule="auto"/>
        <w:ind w:right="0" w:firstLine="709"/>
        <w:rPr>
          <w:szCs w:val="24"/>
        </w:rPr>
      </w:pPr>
      <w:r w:rsidRPr="00845756">
        <w:rPr>
          <w:szCs w:val="24"/>
        </w:rPr>
        <w:t>На основании оперативных данных статистики, прогнозное значение численности трудовых ресурсов на 2017 год составляло по вариантам 451,0-455,8 тыс. чел. Однако,  с учетом скорректированного органами статистики  оценочного значения показателя за 2015 год, оценочное значение показателя за 2017 год увеличено до 458,3 тыс. чел.</w:t>
      </w:r>
    </w:p>
    <w:p w:rsidR="00A65FD4" w:rsidRPr="00845756" w:rsidRDefault="00A65FD4" w:rsidP="00B759E8">
      <w:pPr>
        <w:pStyle w:val="af6"/>
        <w:tabs>
          <w:tab w:val="left" w:pos="1134"/>
        </w:tabs>
        <w:spacing w:line="276" w:lineRule="auto"/>
        <w:ind w:right="0" w:firstLine="709"/>
        <w:rPr>
          <w:bCs/>
          <w:szCs w:val="24"/>
        </w:rPr>
      </w:pPr>
      <w:r w:rsidRPr="00845756">
        <w:rPr>
          <w:szCs w:val="24"/>
        </w:rPr>
        <w:t xml:space="preserve">Основным фактором, влияющим на снижение численности трудовых ресурсов городского округа в 2017 году, является тенденция сокращения численности населения трудоспособного возраста (на 7,8 тыс. чел., или 1,9 %). </w:t>
      </w:r>
    </w:p>
    <w:p w:rsidR="00A65FD4" w:rsidRPr="00845756" w:rsidRDefault="00A65FD4" w:rsidP="00B759E8">
      <w:pPr>
        <w:tabs>
          <w:tab w:val="left" w:pos="1134"/>
        </w:tabs>
        <w:spacing w:line="276" w:lineRule="auto"/>
        <w:ind w:firstLine="709"/>
        <w:jc w:val="both"/>
        <w:rPr>
          <w:sz w:val="24"/>
          <w:szCs w:val="24"/>
        </w:rPr>
      </w:pPr>
      <w:r w:rsidRPr="00845756">
        <w:rPr>
          <w:sz w:val="24"/>
          <w:szCs w:val="24"/>
        </w:rPr>
        <w:t>Аналогичная ситуация сложилась по показателю  «Число занятых в экономике», значение которого в 2017 году ожидалось на уровне 336,8-341,7 тыс. чел. в зависимости от варианта. В результате улучшения состояния на рынке труда в текущем году,  данный показатель на 2017 год, по оценке, составит 346,0  тыс. чел., что на 1,2 % выше уровня второго варианта прогноза.</w:t>
      </w:r>
    </w:p>
    <w:p w:rsidR="00A65FD4" w:rsidRPr="00845756" w:rsidRDefault="00A65FD4" w:rsidP="00B759E8">
      <w:pPr>
        <w:pStyle w:val="320"/>
        <w:tabs>
          <w:tab w:val="left" w:pos="1134"/>
        </w:tabs>
        <w:spacing w:line="276" w:lineRule="auto"/>
        <w:ind w:firstLine="709"/>
        <w:rPr>
          <w:sz w:val="24"/>
          <w:szCs w:val="24"/>
        </w:rPr>
      </w:pPr>
      <w:r w:rsidRPr="00845756">
        <w:rPr>
          <w:sz w:val="24"/>
          <w:szCs w:val="24"/>
        </w:rPr>
        <w:t xml:space="preserve">Реализация  мер активной политики занятости населения городского округа Тольятти  будет  способствовать сдерживанию темпов роста регистрируемой безработицы и стабилизации  ситуации в сфере занятости до конца 2017 года. </w:t>
      </w:r>
    </w:p>
    <w:p w:rsidR="00A65FD4" w:rsidRPr="00174517" w:rsidRDefault="00A65FD4" w:rsidP="00B759E8">
      <w:pPr>
        <w:tabs>
          <w:tab w:val="left" w:pos="1134"/>
        </w:tabs>
        <w:spacing w:line="276" w:lineRule="auto"/>
        <w:ind w:firstLine="709"/>
        <w:jc w:val="both"/>
        <w:rPr>
          <w:sz w:val="24"/>
          <w:szCs w:val="24"/>
        </w:rPr>
      </w:pPr>
      <w:r w:rsidRPr="00845756">
        <w:rPr>
          <w:sz w:val="24"/>
          <w:szCs w:val="24"/>
        </w:rPr>
        <w:t>По оценке, за 2017 год численность зарегистрированных безработных в среднегодовом исчислении может уменьшиться относительно 2016 года с 8,9 тыс. чел. до 7,0 тыс. чел. При этом  среднегодовой уровень безработицы ожидается порядка – 1,7 %.</w:t>
      </w:r>
      <w:r w:rsidRPr="00174517">
        <w:rPr>
          <w:sz w:val="24"/>
          <w:szCs w:val="24"/>
        </w:rPr>
        <w:t xml:space="preserve"> </w:t>
      </w:r>
    </w:p>
    <w:p w:rsidR="00A50BA4" w:rsidRPr="005A34F1" w:rsidRDefault="00A50BA4" w:rsidP="0052727C">
      <w:pPr>
        <w:tabs>
          <w:tab w:val="left" w:pos="1134"/>
        </w:tabs>
        <w:spacing w:line="276" w:lineRule="auto"/>
        <w:jc w:val="center"/>
        <w:rPr>
          <w:b/>
          <w:sz w:val="24"/>
          <w:szCs w:val="24"/>
          <w:highlight w:val="yellow"/>
        </w:rPr>
      </w:pPr>
    </w:p>
    <w:p w:rsidR="00A50BA4" w:rsidRPr="00A65FD4" w:rsidRDefault="00A50BA4" w:rsidP="009A3B1B">
      <w:pPr>
        <w:tabs>
          <w:tab w:val="left" w:pos="1134"/>
        </w:tabs>
        <w:spacing w:line="276" w:lineRule="auto"/>
        <w:jc w:val="center"/>
        <w:rPr>
          <w:b/>
          <w:sz w:val="24"/>
          <w:szCs w:val="24"/>
        </w:rPr>
      </w:pPr>
      <w:r w:rsidRPr="00A65FD4">
        <w:rPr>
          <w:b/>
          <w:sz w:val="24"/>
          <w:szCs w:val="24"/>
        </w:rPr>
        <w:t>Заработная плата</w:t>
      </w:r>
    </w:p>
    <w:p w:rsidR="00A50BA4" w:rsidRPr="005A34F1" w:rsidRDefault="00A50BA4" w:rsidP="009A3B1B">
      <w:pPr>
        <w:tabs>
          <w:tab w:val="left" w:pos="1134"/>
        </w:tabs>
        <w:spacing w:line="276" w:lineRule="auto"/>
        <w:jc w:val="center"/>
        <w:rPr>
          <w:b/>
          <w:sz w:val="24"/>
          <w:szCs w:val="24"/>
          <w:highlight w:val="yellow"/>
        </w:rPr>
      </w:pPr>
    </w:p>
    <w:p w:rsidR="00A65FD4" w:rsidRPr="00683D33" w:rsidRDefault="00A65FD4" w:rsidP="00B759E8">
      <w:pPr>
        <w:spacing w:line="276" w:lineRule="auto"/>
        <w:ind w:firstLine="709"/>
        <w:jc w:val="both"/>
        <w:rPr>
          <w:sz w:val="24"/>
          <w:szCs w:val="24"/>
          <w:lang w:eastAsia="ar-SA"/>
        </w:rPr>
      </w:pPr>
      <w:r w:rsidRPr="00B347E3">
        <w:rPr>
          <w:sz w:val="24"/>
          <w:szCs w:val="24"/>
        </w:rPr>
        <w:t>Среднемесячная начисленная заработная плата</w:t>
      </w:r>
      <w:r w:rsidRPr="00887D53">
        <w:rPr>
          <w:sz w:val="24"/>
          <w:szCs w:val="24"/>
        </w:rPr>
        <w:t xml:space="preserve"> </w:t>
      </w:r>
      <w:r w:rsidRPr="00887D53">
        <w:rPr>
          <w:sz w:val="24"/>
          <w:szCs w:val="24"/>
          <w:lang w:eastAsia="ar-SA"/>
        </w:rPr>
        <w:t>работников</w:t>
      </w:r>
      <w:r w:rsidR="00F40CE8">
        <w:rPr>
          <w:sz w:val="24"/>
          <w:szCs w:val="24"/>
          <w:lang w:eastAsia="ar-SA"/>
        </w:rPr>
        <w:t xml:space="preserve"> организаций </w:t>
      </w:r>
      <w:r w:rsidR="00F40CE8" w:rsidRPr="00887D53">
        <w:rPr>
          <w:sz w:val="24"/>
          <w:szCs w:val="24"/>
          <w:lang w:eastAsia="ar-SA"/>
        </w:rPr>
        <w:t>городского округа Тольятти</w:t>
      </w:r>
      <w:r>
        <w:rPr>
          <w:sz w:val="24"/>
          <w:szCs w:val="24"/>
          <w:lang w:eastAsia="ar-SA"/>
        </w:rPr>
        <w:t>, не относящихся к субъектам малого предпринимательства,</w:t>
      </w:r>
      <w:r w:rsidRPr="00887D53">
        <w:rPr>
          <w:sz w:val="24"/>
          <w:szCs w:val="24"/>
          <w:lang w:eastAsia="ar-SA"/>
        </w:rPr>
        <w:t xml:space="preserve"> по итогам 1 полугодия 201</w:t>
      </w:r>
      <w:r>
        <w:rPr>
          <w:sz w:val="24"/>
          <w:szCs w:val="24"/>
          <w:lang w:eastAsia="ar-SA"/>
        </w:rPr>
        <w:t>7</w:t>
      </w:r>
      <w:r w:rsidRPr="00887D53">
        <w:rPr>
          <w:sz w:val="24"/>
          <w:szCs w:val="24"/>
          <w:lang w:eastAsia="ar-SA"/>
        </w:rPr>
        <w:t xml:space="preserve"> года увеличилась по сравнению с </w:t>
      </w:r>
      <w:r w:rsidR="00590E96">
        <w:rPr>
          <w:sz w:val="24"/>
          <w:szCs w:val="24"/>
          <w:lang w:eastAsia="ar-SA"/>
        </w:rPr>
        <w:t xml:space="preserve">аналогичным периодом </w:t>
      </w:r>
      <w:r w:rsidRPr="00887D53">
        <w:rPr>
          <w:sz w:val="24"/>
          <w:szCs w:val="24"/>
          <w:lang w:eastAsia="ar-SA"/>
        </w:rPr>
        <w:t>201</w:t>
      </w:r>
      <w:r>
        <w:rPr>
          <w:sz w:val="24"/>
          <w:szCs w:val="24"/>
          <w:lang w:eastAsia="ar-SA"/>
        </w:rPr>
        <w:t>6</w:t>
      </w:r>
      <w:r w:rsidRPr="00887D53">
        <w:rPr>
          <w:sz w:val="24"/>
          <w:szCs w:val="24"/>
          <w:lang w:eastAsia="ar-SA"/>
        </w:rPr>
        <w:t xml:space="preserve"> года </w:t>
      </w:r>
      <w:r w:rsidRPr="005F27EE">
        <w:rPr>
          <w:rFonts w:eastAsia="Calibri"/>
          <w:sz w:val="24"/>
          <w:szCs w:val="24"/>
          <w:lang w:eastAsia="ar-SA"/>
        </w:rPr>
        <w:t>на 10,3 % и составила 31</w:t>
      </w:r>
      <w:r w:rsidR="00F40CE8">
        <w:rPr>
          <w:rFonts w:eastAsia="Calibri"/>
          <w:sz w:val="24"/>
          <w:szCs w:val="24"/>
          <w:lang w:eastAsia="ar-SA"/>
        </w:rPr>
        <w:t xml:space="preserve"> </w:t>
      </w:r>
      <w:r w:rsidRPr="005F27EE">
        <w:rPr>
          <w:rFonts w:eastAsia="Calibri"/>
          <w:sz w:val="24"/>
          <w:szCs w:val="24"/>
          <w:lang w:eastAsia="ar-SA"/>
        </w:rPr>
        <w:t xml:space="preserve">802,9 руб. </w:t>
      </w:r>
      <w:r w:rsidR="00C071EB">
        <w:rPr>
          <w:rFonts w:eastAsia="Calibri"/>
          <w:sz w:val="24"/>
          <w:szCs w:val="24"/>
          <w:lang w:eastAsia="ar-SA"/>
        </w:rPr>
        <w:t>(4 место среди городских округов Самарской области</w:t>
      </w:r>
      <w:r w:rsidR="00590E96">
        <w:rPr>
          <w:rFonts w:eastAsia="Calibri"/>
          <w:sz w:val="24"/>
          <w:szCs w:val="24"/>
          <w:lang w:eastAsia="ar-SA"/>
        </w:rPr>
        <w:t xml:space="preserve">, </w:t>
      </w:r>
      <w:r w:rsidR="00590E96" w:rsidRPr="00683D33">
        <w:rPr>
          <w:sz w:val="24"/>
          <w:szCs w:val="24"/>
          <w:lang w:eastAsia="ar-SA"/>
        </w:rPr>
        <w:t>по Самарской области – рост на 7,0 %, заработная плата – 33</w:t>
      </w:r>
      <w:r w:rsidR="00F40CE8">
        <w:rPr>
          <w:sz w:val="24"/>
          <w:szCs w:val="24"/>
          <w:lang w:eastAsia="ar-SA"/>
        </w:rPr>
        <w:t xml:space="preserve"> </w:t>
      </w:r>
      <w:r w:rsidR="00590E96" w:rsidRPr="00683D33">
        <w:rPr>
          <w:sz w:val="24"/>
          <w:szCs w:val="24"/>
          <w:lang w:eastAsia="ar-SA"/>
        </w:rPr>
        <w:t>915,2 руб.</w:t>
      </w:r>
      <w:r w:rsidR="00C071EB">
        <w:rPr>
          <w:rFonts w:eastAsia="Calibri"/>
          <w:sz w:val="24"/>
          <w:szCs w:val="24"/>
          <w:lang w:eastAsia="ar-SA"/>
        </w:rPr>
        <w:t xml:space="preserve">). </w:t>
      </w:r>
      <w:r w:rsidR="00A679F4">
        <w:rPr>
          <w:rFonts w:eastAsia="Calibri"/>
          <w:sz w:val="24"/>
          <w:szCs w:val="24"/>
          <w:lang w:eastAsia="ar-SA"/>
        </w:rPr>
        <w:t>При этом р</w:t>
      </w:r>
      <w:r w:rsidRPr="005F27EE">
        <w:rPr>
          <w:rFonts w:eastAsia="Calibri"/>
          <w:sz w:val="24"/>
          <w:szCs w:val="24"/>
          <w:lang w:eastAsia="ar-SA"/>
        </w:rPr>
        <w:t>еальная заработная плата за январь-июнь 2017 года выросла на 5,8 %</w:t>
      </w:r>
      <w:r w:rsidR="00A679F4">
        <w:rPr>
          <w:rFonts w:eastAsia="Calibri"/>
          <w:sz w:val="24"/>
          <w:szCs w:val="24"/>
          <w:lang w:eastAsia="ar-SA"/>
        </w:rPr>
        <w:t xml:space="preserve"> </w:t>
      </w:r>
      <w:r w:rsidR="00A679F4" w:rsidRPr="005F27EE">
        <w:rPr>
          <w:rFonts w:eastAsia="Calibri"/>
          <w:sz w:val="24"/>
          <w:szCs w:val="24"/>
          <w:lang w:eastAsia="ar-SA"/>
        </w:rPr>
        <w:t xml:space="preserve">относительно </w:t>
      </w:r>
      <w:r w:rsidR="00A679F4" w:rsidRPr="00A679F4">
        <w:rPr>
          <w:rFonts w:eastAsia="Calibri"/>
          <w:sz w:val="24"/>
          <w:szCs w:val="24"/>
          <w:lang w:eastAsia="ar-SA"/>
        </w:rPr>
        <w:t xml:space="preserve">аналогичного периода 2016 </w:t>
      </w:r>
      <w:r w:rsidR="00A679F4" w:rsidRPr="00683D33">
        <w:rPr>
          <w:sz w:val="24"/>
          <w:szCs w:val="24"/>
          <w:lang w:eastAsia="ar-SA"/>
        </w:rPr>
        <w:t>года</w:t>
      </w:r>
      <w:r w:rsidR="00683D33" w:rsidRPr="00683D33">
        <w:rPr>
          <w:sz w:val="24"/>
          <w:szCs w:val="24"/>
          <w:lang w:eastAsia="ar-SA"/>
        </w:rPr>
        <w:t>.</w:t>
      </w:r>
      <w:r w:rsidRPr="00683D33">
        <w:rPr>
          <w:sz w:val="24"/>
          <w:szCs w:val="24"/>
          <w:lang w:eastAsia="ar-SA"/>
        </w:rPr>
        <w:t xml:space="preserve"> </w:t>
      </w:r>
    </w:p>
    <w:p w:rsidR="00A65FD4" w:rsidRDefault="00A65FD4" w:rsidP="00B759E8">
      <w:pPr>
        <w:pStyle w:val="231"/>
        <w:spacing w:after="0" w:line="276" w:lineRule="auto"/>
        <w:ind w:firstLine="709"/>
        <w:jc w:val="both"/>
        <w:rPr>
          <w:sz w:val="24"/>
          <w:szCs w:val="24"/>
        </w:rPr>
      </w:pPr>
      <w:r w:rsidRPr="00887D53">
        <w:rPr>
          <w:sz w:val="24"/>
          <w:szCs w:val="24"/>
        </w:rPr>
        <w:t xml:space="preserve">Как и в прошлые периоды, дифференциация среднемесячной заработной платы в различных секторах экономики сохраняется высокой. </w:t>
      </w:r>
    </w:p>
    <w:p w:rsidR="00A65FD4" w:rsidRPr="006E7219" w:rsidRDefault="00A65FD4" w:rsidP="00B759E8">
      <w:pPr>
        <w:pStyle w:val="aff1"/>
        <w:spacing w:line="276" w:lineRule="auto"/>
        <w:rPr>
          <w:sz w:val="24"/>
          <w:szCs w:val="24"/>
        </w:rPr>
      </w:pPr>
      <w:r w:rsidRPr="00EE0689">
        <w:rPr>
          <w:sz w:val="24"/>
          <w:szCs w:val="24"/>
        </w:rPr>
        <w:t xml:space="preserve">По итогам 1 полугодия </w:t>
      </w:r>
      <w:r w:rsidRPr="006E7219">
        <w:rPr>
          <w:sz w:val="24"/>
          <w:szCs w:val="24"/>
        </w:rPr>
        <w:t xml:space="preserve">химическое производство, является самым оплачиваемым видом деятельности. Среднемесячная заработная плата в этом виде деятельности превысила среднемесячную заработную плату в целом по городскому округу в 1,4 раза. Также лидером по уровню заработной платы, является деятельность профессиональная, научная и техническая (в 2 раза) и финансовая деятельность (в 1,4 раза). </w:t>
      </w:r>
    </w:p>
    <w:p w:rsidR="00A65FD4" w:rsidRPr="00A37E7B" w:rsidRDefault="00A65FD4" w:rsidP="00B759E8">
      <w:pPr>
        <w:pStyle w:val="aff1"/>
        <w:spacing w:line="276" w:lineRule="auto"/>
        <w:rPr>
          <w:sz w:val="24"/>
          <w:szCs w:val="24"/>
        </w:rPr>
      </w:pPr>
      <w:r w:rsidRPr="00A37E7B">
        <w:rPr>
          <w:sz w:val="24"/>
          <w:szCs w:val="24"/>
        </w:rPr>
        <w:t xml:space="preserve">В аутсайдерах по уровню заработной платы по итогам 1 полугодия 2017 года </w:t>
      </w:r>
      <w:r w:rsidR="00A679F4">
        <w:rPr>
          <w:sz w:val="24"/>
          <w:szCs w:val="24"/>
        </w:rPr>
        <w:t>стали</w:t>
      </w:r>
      <w:r w:rsidRPr="00A37E7B">
        <w:rPr>
          <w:sz w:val="24"/>
          <w:szCs w:val="24"/>
        </w:rPr>
        <w:t xml:space="preserve"> предприятия</w:t>
      </w:r>
      <w:r w:rsidR="00A679F4">
        <w:rPr>
          <w:sz w:val="24"/>
          <w:szCs w:val="24"/>
        </w:rPr>
        <w:t xml:space="preserve">, занятые  </w:t>
      </w:r>
      <w:r w:rsidRPr="00A37E7B">
        <w:rPr>
          <w:sz w:val="24"/>
          <w:szCs w:val="24"/>
        </w:rPr>
        <w:t>операциям</w:t>
      </w:r>
      <w:r w:rsidR="00A679F4">
        <w:rPr>
          <w:sz w:val="24"/>
          <w:szCs w:val="24"/>
        </w:rPr>
        <w:t>и</w:t>
      </w:r>
      <w:r w:rsidRPr="00A37E7B">
        <w:rPr>
          <w:sz w:val="24"/>
          <w:szCs w:val="24"/>
        </w:rPr>
        <w:t xml:space="preserve"> с недвижимым имуществом (50,5 % от среднемесячной заработной платы по </w:t>
      </w:r>
      <w:r w:rsidR="00A679F4">
        <w:rPr>
          <w:sz w:val="24"/>
          <w:szCs w:val="24"/>
        </w:rPr>
        <w:t xml:space="preserve">городскому </w:t>
      </w:r>
      <w:r w:rsidRPr="00A37E7B">
        <w:rPr>
          <w:sz w:val="24"/>
          <w:szCs w:val="24"/>
        </w:rPr>
        <w:t xml:space="preserve">округу), по производству пищевых продуктов (60,8%). </w:t>
      </w:r>
    </w:p>
    <w:p w:rsidR="00A65FD4" w:rsidRPr="006E7219" w:rsidRDefault="00A65FD4" w:rsidP="00B759E8">
      <w:pPr>
        <w:pStyle w:val="aff1"/>
        <w:spacing w:line="276" w:lineRule="auto"/>
        <w:rPr>
          <w:sz w:val="24"/>
          <w:szCs w:val="24"/>
        </w:rPr>
      </w:pPr>
      <w:r>
        <w:rPr>
          <w:sz w:val="24"/>
          <w:szCs w:val="24"/>
        </w:rPr>
        <w:t>П</w:t>
      </w:r>
      <w:r w:rsidRPr="004B150E">
        <w:rPr>
          <w:sz w:val="24"/>
          <w:szCs w:val="24"/>
        </w:rPr>
        <w:t>о сравнению с аналогичным периодом прошлого года</w:t>
      </w:r>
      <w:r w:rsidRPr="007B7C67">
        <w:rPr>
          <w:sz w:val="24"/>
          <w:szCs w:val="24"/>
        </w:rPr>
        <w:t xml:space="preserve"> </w:t>
      </w:r>
      <w:r w:rsidRPr="006E7219">
        <w:rPr>
          <w:sz w:val="24"/>
          <w:szCs w:val="24"/>
        </w:rPr>
        <w:t>номинальная начисленная заработная плата выросла практически во всех наблюдаемых видах экономической деятельности за исключением деятельности профессиональной, научной и технической (темп роста – 86,2%).</w:t>
      </w:r>
    </w:p>
    <w:p w:rsidR="00A65FD4" w:rsidRDefault="00A65FD4" w:rsidP="00B759E8">
      <w:pPr>
        <w:pStyle w:val="aff1"/>
        <w:spacing w:line="276" w:lineRule="auto"/>
        <w:rPr>
          <w:sz w:val="24"/>
          <w:szCs w:val="24"/>
        </w:rPr>
      </w:pPr>
      <w:r w:rsidRPr="006E7219">
        <w:rPr>
          <w:sz w:val="24"/>
          <w:szCs w:val="24"/>
        </w:rPr>
        <w:t xml:space="preserve">Наиболее высокие темпы роста заработной платы отмечаются </w:t>
      </w:r>
      <w:r w:rsidR="00A679F4">
        <w:rPr>
          <w:sz w:val="24"/>
          <w:szCs w:val="24"/>
        </w:rPr>
        <w:t>в</w:t>
      </w:r>
      <w:r w:rsidRPr="006E7219">
        <w:rPr>
          <w:sz w:val="24"/>
          <w:szCs w:val="24"/>
        </w:rPr>
        <w:t xml:space="preserve"> финансов</w:t>
      </w:r>
      <w:r w:rsidR="00A679F4">
        <w:rPr>
          <w:sz w:val="24"/>
          <w:szCs w:val="24"/>
        </w:rPr>
        <w:t>ых организациях</w:t>
      </w:r>
      <w:r w:rsidRPr="006E7219">
        <w:rPr>
          <w:sz w:val="24"/>
          <w:szCs w:val="24"/>
        </w:rPr>
        <w:t xml:space="preserve"> (124,7 %)</w:t>
      </w:r>
      <w:r w:rsidR="00A679F4">
        <w:rPr>
          <w:sz w:val="24"/>
          <w:szCs w:val="24"/>
        </w:rPr>
        <w:t xml:space="preserve"> и </w:t>
      </w:r>
      <w:r w:rsidRPr="006E7219">
        <w:rPr>
          <w:sz w:val="24"/>
          <w:szCs w:val="24"/>
        </w:rPr>
        <w:t>обрабатывающих производств</w:t>
      </w:r>
      <w:r w:rsidR="00A679F4">
        <w:rPr>
          <w:sz w:val="24"/>
          <w:szCs w:val="24"/>
        </w:rPr>
        <w:t>ах</w:t>
      </w:r>
      <w:r w:rsidRPr="006E7219">
        <w:rPr>
          <w:sz w:val="24"/>
          <w:szCs w:val="24"/>
        </w:rPr>
        <w:t xml:space="preserve"> (117,2 %)</w:t>
      </w:r>
      <w:r>
        <w:rPr>
          <w:sz w:val="24"/>
          <w:szCs w:val="24"/>
        </w:rPr>
        <w:t>. В</w:t>
      </w:r>
      <w:r w:rsidRPr="00591A06">
        <w:rPr>
          <w:sz w:val="24"/>
          <w:szCs w:val="24"/>
        </w:rPr>
        <w:t xml:space="preserve"> производстве автотранспортных средств, прицепов и полуприцепов </w:t>
      </w:r>
      <w:r w:rsidRPr="006E7219">
        <w:rPr>
          <w:sz w:val="24"/>
          <w:szCs w:val="24"/>
        </w:rPr>
        <w:t>номинальная начисленная заработная плата</w:t>
      </w:r>
      <w:r>
        <w:rPr>
          <w:sz w:val="24"/>
          <w:szCs w:val="24"/>
        </w:rPr>
        <w:t xml:space="preserve"> выросла</w:t>
      </w:r>
      <w:r w:rsidRPr="00591A06">
        <w:rPr>
          <w:sz w:val="24"/>
          <w:szCs w:val="24"/>
        </w:rPr>
        <w:t xml:space="preserve"> на 23,7 %, в производстве химических веществ и химических продуктов – на 3,2 %.</w:t>
      </w:r>
    </w:p>
    <w:p w:rsidR="00A65FD4" w:rsidRDefault="00A65FD4" w:rsidP="0052727C">
      <w:pPr>
        <w:spacing w:line="276" w:lineRule="auto"/>
        <w:ind w:firstLine="709"/>
        <w:contextualSpacing/>
        <w:jc w:val="both"/>
        <w:rPr>
          <w:sz w:val="24"/>
          <w:szCs w:val="24"/>
        </w:rPr>
      </w:pPr>
      <w:r w:rsidRPr="00672DFB">
        <w:rPr>
          <w:sz w:val="24"/>
          <w:szCs w:val="24"/>
        </w:rPr>
        <w:t>Следует отметить, что по данным ПАО «А</w:t>
      </w:r>
      <w:r w:rsidR="00A679F4">
        <w:rPr>
          <w:sz w:val="24"/>
          <w:szCs w:val="24"/>
        </w:rPr>
        <w:t>ВТО</w:t>
      </w:r>
      <w:r w:rsidRPr="00672DFB">
        <w:rPr>
          <w:sz w:val="24"/>
          <w:szCs w:val="24"/>
        </w:rPr>
        <w:t xml:space="preserve">ВАЗ», деятельность которого по-прежнему оказывает существенное влияние на экономику города, всем сотрудникам предприятия (за исключением работающих по контракту и менеджеров) с 1 июля 2017 года повышены тарифные ставки и оклады на 5%. </w:t>
      </w:r>
    </w:p>
    <w:p w:rsidR="00A679F4" w:rsidRPr="00A679F4" w:rsidRDefault="00A679F4" w:rsidP="0052727C">
      <w:pPr>
        <w:pStyle w:val="af6"/>
        <w:numPr>
          <w:ilvl w:val="0"/>
          <w:numId w:val="5"/>
        </w:numPr>
        <w:suppressAutoHyphens w:val="0"/>
        <w:spacing w:line="276" w:lineRule="auto"/>
        <w:ind w:left="0" w:right="0" w:firstLine="709"/>
        <w:rPr>
          <w:szCs w:val="24"/>
        </w:rPr>
      </w:pPr>
      <w:r w:rsidRPr="00A679F4">
        <w:rPr>
          <w:szCs w:val="24"/>
        </w:rPr>
        <w:t>Важно отметить, что значительная часть работающего населения Тольятти занята на предприятиях малого бизнеса, где официальный уровень оплаты труда ниже заработной платы работников крупных и средних предприятий.</w:t>
      </w:r>
    </w:p>
    <w:p w:rsidR="00A65FD4" w:rsidRPr="00672DFB" w:rsidRDefault="00A65FD4" w:rsidP="0052727C">
      <w:pPr>
        <w:spacing w:line="276" w:lineRule="auto"/>
        <w:ind w:firstLine="709"/>
        <w:jc w:val="both"/>
        <w:rPr>
          <w:sz w:val="24"/>
          <w:szCs w:val="24"/>
        </w:rPr>
      </w:pPr>
      <w:r w:rsidRPr="00672DFB">
        <w:rPr>
          <w:sz w:val="24"/>
          <w:szCs w:val="24"/>
        </w:rPr>
        <w:t xml:space="preserve">В целях поэтапного доведения минимального размера оплаты труда до величины прожиточного минимума трудоспособного населения (за I квартал 2017 года - 10691 рублей) в соответствии со ст.1 Федерального закона от 19.12.2016 г. № 460-ФЗ минимальный размер оплаты труда (МРОТ) с 1 июля 2017 года увеличился на 4,0 % (с 7500 руб. до 7800 руб.). </w:t>
      </w:r>
    </w:p>
    <w:p w:rsidR="00A65FD4" w:rsidRPr="00672DFB" w:rsidRDefault="00A65FD4" w:rsidP="0052727C">
      <w:pPr>
        <w:pStyle w:val="ConsPlusNormal"/>
        <w:spacing w:line="276" w:lineRule="auto"/>
        <w:ind w:firstLine="709"/>
        <w:jc w:val="both"/>
        <w:rPr>
          <w:rFonts w:ascii="Times New Roman" w:hAnsi="Times New Roman" w:cs="Times New Roman"/>
          <w:sz w:val="24"/>
          <w:szCs w:val="24"/>
        </w:rPr>
      </w:pPr>
      <w:r w:rsidRPr="00672DFB">
        <w:rPr>
          <w:rFonts w:ascii="Times New Roman" w:hAnsi="Times New Roman" w:cs="Times New Roman"/>
          <w:sz w:val="24"/>
          <w:szCs w:val="24"/>
        </w:rPr>
        <w:t>В 2017 году продолжено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w:t>
      </w:r>
    </w:p>
    <w:p w:rsidR="00A65FD4" w:rsidRDefault="00A65FD4" w:rsidP="0052727C">
      <w:pPr>
        <w:pStyle w:val="aff1"/>
        <w:spacing w:line="276" w:lineRule="auto"/>
        <w:rPr>
          <w:sz w:val="24"/>
          <w:szCs w:val="24"/>
        </w:rPr>
      </w:pPr>
    </w:p>
    <w:p w:rsidR="00A65FD4" w:rsidRDefault="00A65FD4" w:rsidP="00A65FD4">
      <w:pPr>
        <w:pStyle w:val="230"/>
        <w:keepNext/>
        <w:keepLines/>
        <w:spacing w:after="0" w:line="276" w:lineRule="auto"/>
        <w:ind w:left="0"/>
        <w:jc w:val="center"/>
        <w:rPr>
          <w:bCs/>
          <w:sz w:val="24"/>
          <w:szCs w:val="24"/>
        </w:rPr>
      </w:pPr>
      <w:r w:rsidRPr="00C72521">
        <w:rPr>
          <w:bCs/>
          <w:sz w:val="24"/>
          <w:szCs w:val="24"/>
        </w:rPr>
        <w:t>Ожидаемое выполнение прогнозных показателей по разделу «</w:t>
      </w:r>
      <w:r>
        <w:rPr>
          <w:bCs/>
          <w:sz w:val="24"/>
          <w:szCs w:val="24"/>
        </w:rPr>
        <w:t>З</w:t>
      </w:r>
      <w:r w:rsidRPr="00C72521">
        <w:rPr>
          <w:bCs/>
          <w:sz w:val="24"/>
          <w:szCs w:val="24"/>
        </w:rPr>
        <w:t>аработная плата»</w:t>
      </w:r>
      <w:r>
        <w:rPr>
          <w:bCs/>
          <w:sz w:val="24"/>
          <w:szCs w:val="24"/>
        </w:rPr>
        <w:t xml:space="preserve">                на 2017 год</w:t>
      </w:r>
    </w:p>
    <w:tbl>
      <w:tblPr>
        <w:tblW w:w="0" w:type="auto"/>
        <w:tblInd w:w="108" w:type="dxa"/>
        <w:tblLayout w:type="fixed"/>
        <w:tblLook w:val="0000" w:firstRow="0" w:lastRow="0" w:firstColumn="0" w:lastColumn="0" w:noHBand="0" w:noVBand="0"/>
      </w:tblPr>
      <w:tblGrid>
        <w:gridCol w:w="4395"/>
        <w:gridCol w:w="850"/>
        <w:gridCol w:w="1276"/>
        <w:gridCol w:w="1417"/>
        <w:gridCol w:w="1418"/>
      </w:tblGrid>
      <w:tr w:rsidR="00A65FD4" w:rsidRPr="00C72521" w:rsidTr="00B347E3">
        <w:trPr>
          <w:tblHeader/>
        </w:trPr>
        <w:tc>
          <w:tcPr>
            <w:tcW w:w="4395" w:type="dxa"/>
            <w:vMerge w:val="restart"/>
            <w:tcBorders>
              <w:top w:val="single" w:sz="4" w:space="0" w:color="000000"/>
              <w:left w:val="single" w:sz="4" w:space="0" w:color="000000"/>
              <w:bottom w:val="single" w:sz="4" w:space="0" w:color="000000"/>
            </w:tcBorders>
            <w:vAlign w:val="center"/>
          </w:tcPr>
          <w:p w:rsidR="00A65FD4" w:rsidRPr="00C72521" w:rsidRDefault="00A65FD4" w:rsidP="00A65FD4">
            <w:pPr>
              <w:pStyle w:val="230"/>
              <w:keepNext/>
              <w:keepLines/>
              <w:spacing w:after="0" w:line="240" w:lineRule="auto"/>
              <w:ind w:left="0"/>
              <w:jc w:val="center"/>
              <w:rPr>
                <w:sz w:val="24"/>
                <w:szCs w:val="24"/>
              </w:rPr>
            </w:pPr>
            <w:r w:rsidRPr="00C72521">
              <w:rPr>
                <w:sz w:val="24"/>
                <w:szCs w:val="24"/>
              </w:rPr>
              <w:t>Показатели</w:t>
            </w:r>
          </w:p>
        </w:tc>
        <w:tc>
          <w:tcPr>
            <w:tcW w:w="850" w:type="dxa"/>
            <w:vMerge w:val="restart"/>
            <w:tcBorders>
              <w:top w:val="single" w:sz="4" w:space="0" w:color="000000"/>
              <w:left w:val="single" w:sz="4" w:space="0" w:color="000000"/>
              <w:bottom w:val="single" w:sz="4" w:space="0" w:color="000000"/>
            </w:tcBorders>
            <w:vAlign w:val="center"/>
          </w:tcPr>
          <w:p w:rsidR="00A65FD4" w:rsidRPr="00C72521" w:rsidRDefault="00A65FD4" w:rsidP="00A65FD4">
            <w:pPr>
              <w:pStyle w:val="230"/>
              <w:keepNext/>
              <w:keepLines/>
              <w:spacing w:after="0" w:line="240" w:lineRule="auto"/>
              <w:ind w:left="0"/>
              <w:jc w:val="center"/>
              <w:rPr>
                <w:sz w:val="24"/>
                <w:szCs w:val="24"/>
              </w:rPr>
            </w:pPr>
            <w:r w:rsidRPr="00C72521">
              <w:rPr>
                <w:sz w:val="24"/>
                <w:szCs w:val="24"/>
              </w:rPr>
              <w:t>Ед. изм.</w:t>
            </w:r>
          </w:p>
        </w:tc>
        <w:tc>
          <w:tcPr>
            <w:tcW w:w="2693" w:type="dxa"/>
            <w:gridSpan w:val="2"/>
            <w:tcBorders>
              <w:top w:val="single" w:sz="4" w:space="0" w:color="000000"/>
              <w:left w:val="single" w:sz="4" w:space="0" w:color="000000"/>
              <w:bottom w:val="single" w:sz="4" w:space="0" w:color="000000"/>
            </w:tcBorders>
          </w:tcPr>
          <w:p w:rsidR="00A65FD4" w:rsidRPr="00066E74" w:rsidRDefault="00A65FD4" w:rsidP="00A65FD4">
            <w:pPr>
              <w:jc w:val="center"/>
              <w:rPr>
                <w:sz w:val="24"/>
                <w:szCs w:val="24"/>
              </w:rPr>
            </w:pPr>
            <w:r w:rsidRPr="00066E74">
              <w:rPr>
                <w:sz w:val="24"/>
                <w:szCs w:val="24"/>
              </w:rPr>
              <w:t xml:space="preserve">Прогноз </w:t>
            </w:r>
            <w:r>
              <w:rPr>
                <w:sz w:val="24"/>
                <w:szCs w:val="24"/>
              </w:rPr>
              <w:t xml:space="preserve">на </w:t>
            </w:r>
            <w:r w:rsidRPr="00066E74">
              <w:rPr>
                <w:sz w:val="24"/>
                <w:szCs w:val="24"/>
              </w:rPr>
              <w:t>201</w:t>
            </w:r>
            <w:r>
              <w:rPr>
                <w:sz w:val="24"/>
                <w:szCs w:val="24"/>
              </w:rPr>
              <w:t>7</w:t>
            </w:r>
            <w:r w:rsidRPr="00066E74">
              <w:rPr>
                <w:sz w:val="24"/>
                <w:szCs w:val="24"/>
              </w:rPr>
              <w:t xml:space="preserve"> г</w:t>
            </w:r>
            <w:r>
              <w:rPr>
                <w:sz w:val="24"/>
                <w:szCs w:val="24"/>
              </w:rPr>
              <w:t>од</w:t>
            </w:r>
          </w:p>
        </w:tc>
        <w:tc>
          <w:tcPr>
            <w:tcW w:w="1418" w:type="dxa"/>
            <w:vMerge w:val="restart"/>
            <w:tcBorders>
              <w:top w:val="single" w:sz="4" w:space="0" w:color="000000"/>
              <w:left w:val="single" w:sz="4" w:space="0" w:color="000000"/>
              <w:bottom w:val="single" w:sz="4" w:space="0" w:color="000000"/>
              <w:right w:val="single" w:sz="4" w:space="0" w:color="000000"/>
            </w:tcBorders>
          </w:tcPr>
          <w:p w:rsidR="00A65FD4" w:rsidRPr="00066E74" w:rsidRDefault="00A65FD4" w:rsidP="00A65FD4">
            <w:pPr>
              <w:jc w:val="center"/>
              <w:rPr>
                <w:sz w:val="24"/>
                <w:szCs w:val="24"/>
              </w:rPr>
            </w:pPr>
            <w:r w:rsidRPr="00066E74">
              <w:rPr>
                <w:sz w:val="24"/>
                <w:szCs w:val="24"/>
              </w:rPr>
              <w:t>201</w:t>
            </w:r>
            <w:r>
              <w:rPr>
                <w:sz w:val="24"/>
                <w:szCs w:val="24"/>
              </w:rPr>
              <w:t>7</w:t>
            </w:r>
            <w:r w:rsidRPr="00066E74">
              <w:rPr>
                <w:sz w:val="24"/>
                <w:szCs w:val="24"/>
              </w:rPr>
              <w:t xml:space="preserve"> г</w:t>
            </w:r>
            <w:r>
              <w:rPr>
                <w:sz w:val="24"/>
                <w:szCs w:val="24"/>
              </w:rPr>
              <w:t>од (оценка)</w:t>
            </w:r>
          </w:p>
        </w:tc>
      </w:tr>
      <w:tr w:rsidR="00A65FD4" w:rsidRPr="00C72521" w:rsidTr="00B347E3">
        <w:trPr>
          <w:trHeight w:val="539"/>
          <w:tblHeader/>
        </w:trPr>
        <w:tc>
          <w:tcPr>
            <w:tcW w:w="4395" w:type="dxa"/>
            <w:vMerge/>
            <w:tcBorders>
              <w:top w:val="single" w:sz="4" w:space="0" w:color="000000"/>
              <w:left w:val="single" w:sz="4" w:space="0" w:color="000000"/>
              <w:bottom w:val="single" w:sz="4" w:space="0" w:color="000000"/>
            </w:tcBorders>
            <w:vAlign w:val="center"/>
          </w:tcPr>
          <w:p w:rsidR="00A65FD4" w:rsidRPr="00C72521" w:rsidRDefault="00A65FD4" w:rsidP="00A65FD4">
            <w:pPr>
              <w:pStyle w:val="230"/>
              <w:snapToGrid w:val="0"/>
              <w:spacing w:after="0" w:line="240" w:lineRule="auto"/>
              <w:ind w:left="0"/>
              <w:jc w:val="center"/>
              <w:rPr>
                <w:sz w:val="24"/>
                <w:szCs w:val="24"/>
              </w:rPr>
            </w:pPr>
          </w:p>
        </w:tc>
        <w:tc>
          <w:tcPr>
            <w:tcW w:w="850" w:type="dxa"/>
            <w:vMerge/>
            <w:tcBorders>
              <w:top w:val="single" w:sz="4" w:space="0" w:color="000000"/>
              <w:left w:val="single" w:sz="4" w:space="0" w:color="000000"/>
              <w:bottom w:val="single" w:sz="4" w:space="0" w:color="000000"/>
            </w:tcBorders>
            <w:vAlign w:val="center"/>
          </w:tcPr>
          <w:p w:rsidR="00A65FD4" w:rsidRPr="00C72521" w:rsidRDefault="00A65FD4" w:rsidP="00A65FD4">
            <w:pPr>
              <w:pStyle w:val="230"/>
              <w:snapToGrid w:val="0"/>
              <w:spacing w:after="0" w:line="240" w:lineRule="auto"/>
              <w:ind w:left="0"/>
              <w:jc w:val="center"/>
              <w:rPr>
                <w:sz w:val="24"/>
                <w:szCs w:val="24"/>
              </w:rPr>
            </w:pPr>
          </w:p>
        </w:tc>
        <w:tc>
          <w:tcPr>
            <w:tcW w:w="1276"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1 вариант</w:t>
            </w:r>
          </w:p>
        </w:tc>
        <w:tc>
          <w:tcPr>
            <w:tcW w:w="1417"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2 вариант</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65FD4" w:rsidRPr="00C72521" w:rsidRDefault="00A65FD4" w:rsidP="00A65FD4">
            <w:pPr>
              <w:pStyle w:val="230"/>
              <w:snapToGrid w:val="0"/>
              <w:spacing w:after="0" w:line="240" w:lineRule="auto"/>
              <w:ind w:left="0"/>
              <w:jc w:val="center"/>
              <w:rPr>
                <w:sz w:val="24"/>
                <w:szCs w:val="24"/>
              </w:rPr>
            </w:pPr>
          </w:p>
        </w:tc>
      </w:tr>
      <w:tr w:rsidR="00A65FD4" w:rsidRPr="00C72521" w:rsidTr="00B347E3">
        <w:tc>
          <w:tcPr>
            <w:tcW w:w="4395" w:type="dxa"/>
            <w:tcBorders>
              <w:top w:val="single" w:sz="4" w:space="0" w:color="000000"/>
              <w:left w:val="single" w:sz="4" w:space="0" w:color="000000"/>
              <w:bottom w:val="single" w:sz="4" w:space="0" w:color="000000"/>
            </w:tcBorders>
          </w:tcPr>
          <w:p w:rsidR="00A65FD4" w:rsidRPr="00C72521" w:rsidRDefault="00A65FD4" w:rsidP="00A65FD4">
            <w:pPr>
              <w:pStyle w:val="230"/>
              <w:spacing w:after="0" w:line="240" w:lineRule="auto"/>
              <w:ind w:left="0"/>
              <w:rPr>
                <w:sz w:val="24"/>
                <w:szCs w:val="24"/>
              </w:rPr>
            </w:pPr>
            <w:r w:rsidRPr="00C72521">
              <w:rPr>
                <w:sz w:val="24"/>
                <w:szCs w:val="24"/>
              </w:rPr>
              <w:t>Среднемесячная начисленная заработная плата работников организаций, не относящихся к субъектам малого предпринимательства</w:t>
            </w:r>
          </w:p>
        </w:tc>
        <w:tc>
          <w:tcPr>
            <w:tcW w:w="850"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руб.</w:t>
            </w:r>
          </w:p>
        </w:tc>
        <w:tc>
          <w:tcPr>
            <w:tcW w:w="1276"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3</w:t>
            </w:r>
            <w:r>
              <w:rPr>
                <w:sz w:val="24"/>
                <w:szCs w:val="24"/>
              </w:rPr>
              <w:t>1 1</w:t>
            </w:r>
            <w:r w:rsidRPr="00C72521">
              <w:rPr>
                <w:sz w:val="24"/>
                <w:szCs w:val="24"/>
              </w:rPr>
              <w:t>60</w:t>
            </w:r>
          </w:p>
        </w:tc>
        <w:tc>
          <w:tcPr>
            <w:tcW w:w="1417"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31</w:t>
            </w:r>
            <w:r>
              <w:rPr>
                <w:sz w:val="24"/>
                <w:szCs w:val="24"/>
              </w:rPr>
              <w:t xml:space="preserve"> 6</w:t>
            </w:r>
            <w:r w:rsidRPr="00C72521">
              <w:rPr>
                <w:sz w:val="24"/>
                <w:szCs w:val="24"/>
              </w:rPr>
              <w:t>80</w:t>
            </w:r>
          </w:p>
        </w:tc>
        <w:tc>
          <w:tcPr>
            <w:tcW w:w="1418" w:type="dxa"/>
            <w:tcBorders>
              <w:top w:val="single" w:sz="4" w:space="0" w:color="000000"/>
              <w:left w:val="single" w:sz="4" w:space="0" w:color="000000"/>
              <w:bottom w:val="single" w:sz="4" w:space="0" w:color="000000"/>
              <w:right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3</w:t>
            </w:r>
            <w:r>
              <w:rPr>
                <w:sz w:val="24"/>
                <w:szCs w:val="24"/>
              </w:rPr>
              <w:t>2 600</w:t>
            </w:r>
          </w:p>
        </w:tc>
      </w:tr>
      <w:tr w:rsidR="00A65FD4" w:rsidRPr="00BE0E7B" w:rsidTr="00B347E3">
        <w:tc>
          <w:tcPr>
            <w:tcW w:w="4395" w:type="dxa"/>
            <w:tcBorders>
              <w:top w:val="single" w:sz="4" w:space="0" w:color="000000"/>
              <w:left w:val="single" w:sz="4" w:space="0" w:color="000000"/>
              <w:bottom w:val="single" w:sz="4" w:space="0" w:color="000000"/>
            </w:tcBorders>
          </w:tcPr>
          <w:p w:rsidR="00A65FD4" w:rsidRPr="00C72521" w:rsidRDefault="00A65FD4" w:rsidP="00A65FD4">
            <w:pPr>
              <w:pStyle w:val="230"/>
              <w:spacing w:after="0" w:line="240" w:lineRule="auto"/>
              <w:ind w:left="0"/>
              <w:rPr>
                <w:sz w:val="24"/>
                <w:szCs w:val="24"/>
              </w:rPr>
            </w:pPr>
            <w:r w:rsidRPr="00C72521">
              <w:rPr>
                <w:sz w:val="24"/>
                <w:szCs w:val="24"/>
              </w:rPr>
              <w:t>Реальная среднемесячная начисленная заработная плата</w:t>
            </w:r>
          </w:p>
        </w:tc>
        <w:tc>
          <w:tcPr>
            <w:tcW w:w="850"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w:t>
            </w:r>
          </w:p>
        </w:tc>
        <w:tc>
          <w:tcPr>
            <w:tcW w:w="1276"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sidRPr="00C72521">
              <w:rPr>
                <w:sz w:val="24"/>
                <w:szCs w:val="24"/>
              </w:rPr>
              <w:t>9</w:t>
            </w:r>
            <w:r>
              <w:rPr>
                <w:sz w:val="24"/>
                <w:szCs w:val="24"/>
              </w:rPr>
              <w:t>4,9</w:t>
            </w:r>
          </w:p>
        </w:tc>
        <w:tc>
          <w:tcPr>
            <w:tcW w:w="1417" w:type="dxa"/>
            <w:tcBorders>
              <w:top w:val="single" w:sz="4" w:space="0" w:color="000000"/>
              <w:left w:val="single" w:sz="4" w:space="0" w:color="000000"/>
              <w:bottom w:val="single" w:sz="4" w:space="0" w:color="000000"/>
            </w:tcBorders>
            <w:vAlign w:val="center"/>
          </w:tcPr>
          <w:p w:rsidR="00A65FD4" w:rsidRPr="00C72521" w:rsidRDefault="00A65FD4" w:rsidP="00A65FD4">
            <w:pPr>
              <w:pStyle w:val="230"/>
              <w:spacing w:after="0" w:line="240" w:lineRule="auto"/>
              <w:ind w:left="0"/>
              <w:jc w:val="center"/>
              <w:rPr>
                <w:sz w:val="24"/>
                <w:szCs w:val="24"/>
              </w:rPr>
            </w:pPr>
            <w:r>
              <w:rPr>
                <w:sz w:val="24"/>
                <w:szCs w:val="24"/>
              </w:rPr>
              <w:t>98,6</w:t>
            </w:r>
          </w:p>
        </w:tc>
        <w:tc>
          <w:tcPr>
            <w:tcW w:w="1418" w:type="dxa"/>
            <w:tcBorders>
              <w:top w:val="single" w:sz="4" w:space="0" w:color="000000"/>
              <w:left w:val="single" w:sz="4" w:space="0" w:color="000000"/>
              <w:bottom w:val="single" w:sz="4" w:space="0" w:color="000000"/>
              <w:right w:val="single" w:sz="4" w:space="0" w:color="000000"/>
            </w:tcBorders>
            <w:vAlign w:val="center"/>
          </w:tcPr>
          <w:p w:rsidR="00A65FD4" w:rsidRPr="00C72521" w:rsidRDefault="00A65FD4" w:rsidP="00A65FD4">
            <w:pPr>
              <w:pStyle w:val="230"/>
              <w:spacing w:after="0" w:line="240" w:lineRule="auto"/>
              <w:ind w:left="0"/>
              <w:jc w:val="center"/>
              <w:rPr>
                <w:sz w:val="24"/>
                <w:szCs w:val="24"/>
              </w:rPr>
            </w:pPr>
            <w:r>
              <w:rPr>
                <w:sz w:val="24"/>
                <w:szCs w:val="24"/>
              </w:rPr>
              <w:t>104,1</w:t>
            </w:r>
          </w:p>
        </w:tc>
      </w:tr>
    </w:tbl>
    <w:p w:rsidR="00A65FD4" w:rsidRDefault="00A65FD4" w:rsidP="00A65FD4">
      <w:pPr>
        <w:pStyle w:val="2a"/>
        <w:spacing w:after="0" w:line="276" w:lineRule="auto"/>
        <w:ind w:firstLine="709"/>
        <w:jc w:val="both"/>
        <w:rPr>
          <w:sz w:val="24"/>
          <w:szCs w:val="24"/>
        </w:rPr>
      </w:pPr>
    </w:p>
    <w:p w:rsidR="00A65FD4" w:rsidRDefault="00A65FD4" w:rsidP="00A65FD4">
      <w:pPr>
        <w:pStyle w:val="2a"/>
        <w:spacing w:after="0" w:line="276" w:lineRule="auto"/>
        <w:ind w:firstLine="709"/>
        <w:jc w:val="both"/>
        <w:rPr>
          <w:sz w:val="24"/>
          <w:szCs w:val="24"/>
        </w:rPr>
      </w:pPr>
      <w:r w:rsidRPr="00E4137C">
        <w:rPr>
          <w:sz w:val="24"/>
          <w:szCs w:val="24"/>
        </w:rPr>
        <w:t>В соответствии с прогнозом</w:t>
      </w:r>
      <w:r>
        <w:rPr>
          <w:sz w:val="24"/>
          <w:szCs w:val="24"/>
        </w:rPr>
        <w:t>, разработанным в 2016 году,</w:t>
      </w:r>
      <w:r w:rsidRPr="00E4137C">
        <w:rPr>
          <w:sz w:val="24"/>
          <w:szCs w:val="24"/>
        </w:rPr>
        <w:t xml:space="preserve"> показатель среднемесячной заработной платы в 201</w:t>
      </w:r>
      <w:r>
        <w:rPr>
          <w:sz w:val="24"/>
          <w:szCs w:val="24"/>
        </w:rPr>
        <w:t>7</w:t>
      </w:r>
      <w:r w:rsidRPr="00E4137C">
        <w:rPr>
          <w:sz w:val="24"/>
          <w:szCs w:val="24"/>
        </w:rPr>
        <w:t xml:space="preserve"> году ожидался в размере 3</w:t>
      </w:r>
      <w:r>
        <w:rPr>
          <w:sz w:val="24"/>
          <w:szCs w:val="24"/>
        </w:rPr>
        <w:t>1</w:t>
      </w:r>
      <w:r w:rsidRPr="00E4137C">
        <w:rPr>
          <w:sz w:val="24"/>
          <w:szCs w:val="24"/>
        </w:rPr>
        <w:t xml:space="preserve"> </w:t>
      </w:r>
      <w:r>
        <w:rPr>
          <w:sz w:val="24"/>
          <w:szCs w:val="24"/>
        </w:rPr>
        <w:t>1</w:t>
      </w:r>
      <w:r w:rsidRPr="00E4137C">
        <w:rPr>
          <w:sz w:val="24"/>
          <w:szCs w:val="24"/>
        </w:rPr>
        <w:t xml:space="preserve">60 по первому варианту, 31 </w:t>
      </w:r>
      <w:r>
        <w:rPr>
          <w:sz w:val="24"/>
          <w:szCs w:val="24"/>
        </w:rPr>
        <w:t>6</w:t>
      </w:r>
      <w:r w:rsidRPr="00E4137C">
        <w:rPr>
          <w:sz w:val="24"/>
          <w:szCs w:val="24"/>
        </w:rPr>
        <w:t>80 руб. – по второму, реальная заработная плата 9</w:t>
      </w:r>
      <w:r>
        <w:rPr>
          <w:sz w:val="24"/>
          <w:szCs w:val="24"/>
        </w:rPr>
        <w:t xml:space="preserve">4,9 % </w:t>
      </w:r>
      <w:r w:rsidRPr="00E4137C">
        <w:rPr>
          <w:sz w:val="24"/>
          <w:szCs w:val="24"/>
        </w:rPr>
        <w:t>-</w:t>
      </w:r>
      <w:r>
        <w:rPr>
          <w:sz w:val="24"/>
          <w:szCs w:val="24"/>
        </w:rPr>
        <w:t xml:space="preserve"> 98,6 </w:t>
      </w:r>
      <w:r w:rsidRPr="00E4137C">
        <w:rPr>
          <w:sz w:val="24"/>
          <w:szCs w:val="24"/>
        </w:rPr>
        <w:t xml:space="preserve">% (соответственно по вариантам). </w:t>
      </w:r>
    </w:p>
    <w:p w:rsidR="00A65FD4" w:rsidRDefault="00A65FD4" w:rsidP="00A65FD4">
      <w:pPr>
        <w:pStyle w:val="2a"/>
        <w:spacing w:after="0" w:line="276" w:lineRule="auto"/>
        <w:ind w:firstLine="709"/>
        <w:jc w:val="both"/>
        <w:rPr>
          <w:sz w:val="24"/>
          <w:szCs w:val="24"/>
        </w:rPr>
      </w:pPr>
      <w:r w:rsidRPr="00E4137C">
        <w:rPr>
          <w:sz w:val="24"/>
          <w:szCs w:val="24"/>
        </w:rPr>
        <w:t>Учитывая сложившийся темп роста номинальной начисленной среднемесячной заработной платы работников организаций, не относящихся к субъектам малого предпринимательства, за 1 полугодие 201</w:t>
      </w:r>
      <w:r>
        <w:rPr>
          <w:sz w:val="24"/>
          <w:szCs w:val="24"/>
        </w:rPr>
        <w:t>7</w:t>
      </w:r>
      <w:r w:rsidRPr="00E4137C">
        <w:rPr>
          <w:sz w:val="24"/>
          <w:szCs w:val="24"/>
        </w:rPr>
        <w:t xml:space="preserve"> года (1</w:t>
      </w:r>
      <w:r>
        <w:rPr>
          <w:sz w:val="24"/>
          <w:szCs w:val="24"/>
        </w:rPr>
        <w:t>1</w:t>
      </w:r>
      <w:r w:rsidRPr="00E4137C">
        <w:rPr>
          <w:sz w:val="24"/>
          <w:szCs w:val="24"/>
        </w:rPr>
        <w:t>0</w:t>
      </w:r>
      <w:r>
        <w:rPr>
          <w:sz w:val="24"/>
          <w:szCs w:val="24"/>
        </w:rPr>
        <w:t>,</w:t>
      </w:r>
      <w:r w:rsidRPr="00E4137C">
        <w:rPr>
          <w:sz w:val="24"/>
          <w:szCs w:val="24"/>
        </w:rPr>
        <w:t>3 %), а также, и</w:t>
      </w:r>
      <w:r w:rsidRPr="00E4137C">
        <w:rPr>
          <w:bCs/>
          <w:sz w:val="24"/>
          <w:szCs w:val="24"/>
        </w:rPr>
        <w:t>сходя из сложившихся условий экономического развития городского округа,</w:t>
      </w:r>
      <w:r w:rsidRPr="00E4137C">
        <w:rPr>
          <w:sz w:val="24"/>
          <w:szCs w:val="24"/>
        </w:rPr>
        <w:t xml:space="preserve"> оценка показателя номинальной начисленной среднемесячной заработной платы в целом за 201</w:t>
      </w:r>
      <w:r>
        <w:rPr>
          <w:sz w:val="24"/>
          <w:szCs w:val="24"/>
        </w:rPr>
        <w:t>7</w:t>
      </w:r>
      <w:r w:rsidRPr="00E4137C">
        <w:rPr>
          <w:sz w:val="24"/>
          <w:szCs w:val="24"/>
        </w:rPr>
        <w:t xml:space="preserve"> год составляет 3</w:t>
      </w:r>
      <w:r>
        <w:rPr>
          <w:sz w:val="24"/>
          <w:szCs w:val="24"/>
        </w:rPr>
        <w:t>2 600</w:t>
      </w:r>
      <w:r w:rsidRPr="00E4137C">
        <w:rPr>
          <w:sz w:val="24"/>
          <w:szCs w:val="24"/>
        </w:rPr>
        <w:t xml:space="preserve"> руб.. Оценка реальной заработной платы скорректирована на индекс потребительских цен до </w:t>
      </w:r>
      <w:r>
        <w:rPr>
          <w:sz w:val="24"/>
          <w:szCs w:val="24"/>
        </w:rPr>
        <w:t>104,1</w:t>
      </w:r>
      <w:r w:rsidRPr="00E4137C">
        <w:rPr>
          <w:sz w:val="24"/>
          <w:szCs w:val="24"/>
        </w:rPr>
        <w:t xml:space="preserve"> %. </w:t>
      </w:r>
    </w:p>
    <w:p w:rsidR="0052727C" w:rsidRDefault="0052727C" w:rsidP="00FC515F">
      <w:pPr>
        <w:pStyle w:val="2a"/>
        <w:spacing w:after="0" w:line="276" w:lineRule="auto"/>
        <w:jc w:val="center"/>
        <w:rPr>
          <w:b/>
          <w:sz w:val="24"/>
          <w:szCs w:val="24"/>
        </w:rPr>
      </w:pPr>
    </w:p>
    <w:p w:rsidR="00A50BA4" w:rsidRPr="0005237A" w:rsidRDefault="00A50BA4" w:rsidP="00FC515F">
      <w:pPr>
        <w:pStyle w:val="2a"/>
        <w:spacing w:after="0" w:line="276" w:lineRule="auto"/>
        <w:jc w:val="center"/>
        <w:rPr>
          <w:b/>
          <w:sz w:val="24"/>
          <w:szCs w:val="24"/>
        </w:rPr>
      </w:pPr>
      <w:r w:rsidRPr="0005237A">
        <w:rPr>
          <w:b/>
          <w:sz w:val="24"/>
          <w:szCs w:val="24"/>
        </w:rPr>
        <w:t>Транспорт</w:t>
      </w:r>
    </w:p>
    <w:p w:rsidR="00A50BA4" w:rsidRPr="005A34F1" w:rsidRDefault="00A50BA4" w:rsidP="000420C4">
      <w:pPr>
        <w:pStyle w:val="2a"/>
        <w:spacing w:after="0" w:line="276" w:lineRule="auto"/>
        <w:ind w:firstLine="709"/>
        <w:jc w:val="center"/>
        <w:rPr>
          <w:b/>
          <w:sz w:val="24"/>
          <w:szCs w:val="24"/>
          <w:highlight w:val="yellow"/>
        </w:rPr>
      </w:pPr>
    </w:p>
    <w:p w:rsidR="00E17FA7" w:rsidRDefault="00A50BA4" w:rsidP="0052727C">
      <w:pPr>
        <w:pStyle w:val="aff1"/>
        <w:spacing w:line="276" w:lineRule="auto"/>
        <w:rPr>
          <w:sz w:val="24"/>
          <w:szCs w:val="24"/>
        </w:rPr>
      </w:pPr>
      <w:r w:rsidRPr="00A01010">
        <w:rPr>
          <w:sz w:val="24"/>
          <w:szCs w:val="24"/>
        </w:rPr>
        <w:t>По данным органов статистики за 1 полугодие 201</w:t>
      </w:r>
      <w:r w:rsidR="00A01010" w:rsidRPr="00A01010">
        <w:rPr>
          <w:sz w:val="24"/>
          <w:szCs w:val="24"/>
        </w:rPr>
        <w:t>7</w:t>
      </w:r>
      <w:r w:rsidRPr="00A01010">
        <w:rPr>
          <w:sz w:val="24"/>
          <w:szCs w:val="24"/>
        </w:rPr>
        <w:t xml:space="preserve"> года наблюдается рост показателей работы грузо</w:t>
      </w:r>
      <w:r w:rsidR="00E17FA7">
        <w:rPr>
          <w:sz w:val="24"/>
          <w:szCs w:val="24"/>
        </w:rPr>
        <w:t>вого и пассажирского транспорта.</w:t>
      </w:r>
    </w:p>
    <w:p w:rsidR="00A50BA4" w:rsidRPr="00A01010" w:rsidRDefault="00E17FA7" w:rsidP="0052727C">
      <w:pPr>
        <w:pStyle w:val="aff1"/>
        <w:spacing w:line="276" w:lineRule="auto"/>
        <w:rPr>
          <w:color w:val="FF0000"/>
          <w:sz w:val="24"/>
          <w:szCs w:val="24"/>
        </w:rPr>
      </w:pPr>
      <w:r>
        <w:rPr>
          <w:sz w:val="24"/>
          <w:szCs w:val="24"/>
        </w:rPr>
        <w:t>Г</w:t>
      </w:r>
      <w:r w:rsidR="00A50BA4" w:rsidRPr="00A01010">
        <w:rPr>
          <w:sz w:val="24"/>
          <w:szCs w:val="24"/>
        </w:rPr>
        <w:t>рузооборот на коммерческой основе (без трубопроводного транспорта) вырос на 2</w:t>
      </w:r>
      <w:r w:rsidR="00A01010" w:rsidRPr="00A01010">
        <w:rPr>
          <w:sz w:val="24"/>
          <w:szCs w:val="24"/>
        </w:rPr>
        <w:t>4</w:t>
      </w:r>
      <w:r w:rsidR="00A50BA4" w:rsidRPr="00A01010">
        <w:rPr>
          <w:sz w:val="24"/>
          <w:szCs w:val="24"/>
        </w:rPr>
        <w:t>,</w:t>
      </w:r>
      <w:r w:rsidR="00A01010" w:rsidRPr="00A01010">
        <w:rPr>
          <w:sz w:val="24"/>
          <w:szCs w:val="24"/>
        </w:rPr>
        <w:t>4</w:t>
      </w:r>
      <w:r w:rsidR="00A50BA4" w:rsidRPr="00A01010">
        <w:rPr>
          <w:sz w:val="24"/>
          <w:szCs w:val="24"/>
        </w:rPr>
        <w:t xml:space="preserve"> % к аналогичному периоду 201</w:t>
      </w:r>
      <w:r w:rsidR="00A01010" w:rsidRPr="00A01010">
        <w:rPr>
          <w:sz w:val="24"/>
          <w:szCs w:val="24"/>
        </w:rPr>
        <w:t>6</w:t>
      </w:r>
      <w:r w:rsidR="00A50BA4" w:rsidRPr="00A01010">
        <w:rPr>
          <w:sz w:val="24"/>
          <w:szCs w:val="24"/>
        </w:rPr>
        <w:t xml:space="preserve"> года и составил </w:t>
      </w:r>
      <w:r w:rsidR="00A01010" w:rsidRPr="00A01010">
        <w:rPr>
          <w:sz w:val="24"/>
          <w:szCs w:val="24"/>
        </w:rPr>
        <w:t>106</w:t>
      </w:r>
      <w:r w:rsidR="00A50BA4" w:rsidRPr="00A01010">
        <w:rPr>
          <w:sz w:val="24"/>
          <w:szCs w:val="24"/>
        </w:rPr>
        <w:t>,</w:t>
      </w:r>
      <w:r w:rsidR="00A01010" w:rsidRPr="00A01010">
        <w:rPr>
          <w:sz w:val="24"/>
          <w:szCs w:val="24"/>
        </w:rPr>
        <w:t>3</w:t>
      </w:r>
      <w:r w:rsidR="00A50BA4" w:rsidRPr="00A01010">
        <w:rPr>
          <w:sz w:val="24"/>
          <w:szCs w:val="24"/>
        </w:rPr>
        <w:t xml:space="preserve"> млн. т. км. Рост грузооборота обусловлен увеличением средней дальности перевозок крупных транспортных предприятий города (на </w:t>
      </w:r>
      <w:r w:rsidR="00A01010" w:rsidRPr="00A01010">
        <w:rPr>
          <w:sz w:val="24"/>
          <w:szCs w:val="24"/>
        </w:rPr>
        <w:t>19,5</w:t>
      </w:r>
      <w:r w:rsidR="00A50BA4" w:rsidRPr="00A01010">
        <w:rPr>
          <w:sz w:val="24"/>
          <w:szCs w:val="24"/>
        </w:rPr>
        <w:t xml:space="preserve"> % к соответствующему периоду прошлого года). </w:t>
      </w:r>
    </w:p>
    <w:p w:rsidR="00A50BA4" w:rsidRPr="006C2CF0" w:rsidRDefault="00A50BA4" w:rsidP="0052727C">
      <w:pPr>
        <w:suppressAutoHyphens w:val="0"/>
        <w:spacing w:line="276" w:lineRule="auto"/>
        <w:ind w:firstLine="709"/>
        <w:jc w:val="both"/>
        <w:rPr>
          <w:sz w:val="24"/>
          <w:szCs w:val="24"/>
        </w:rPr>
      </w:pPr>
      <w:r w:rsidRPr="00A01010">
        <w:rPr>
          <w:sz w:val="24"/>
          <w:szCs w:val="24"/>
        </w:rPr>
        <w:t>Регулярные перевозки пассажиров в городском округе Тольятти в январе – июне 201</w:t>
      </w:r>
      <w:r w:rsidR="00EF5A36">
        <w:rPr>
          <w:sz w:val="24"/>
          <w:szCs w:val="24"/>
        </w:rPr>
        <w:t>7</w:t>
      </w:r>
      <w:r w:rsidRPr="00A01010">
        <w:rPr>
          <w:sz w:val="24"/>
          <w:szCs w:val="24"/>
        </w:rPr>
        <w:t xml:space="preserve"> года осуществляли 2 муниципальных </w:t>
      </w:r>
      <w:r w:rsidRPr="006C2CF0">
        <w:rPr>
          <w:sz w:val="24"/>
          <w:szCs w:val="24"/>
        </w:rPr>
        <w:t>предприятия по 45 маршрутам, а также 1</w:t>
      </w:r>
      <w:r w:rsidR="00A01010" w:rsidRPr="006C2CF0">
        <w:rPr>
          <w:sz w:val="24"/>
          <w:szCs w:val="24"/>
        </w:rPr>
        <w:t>1</w:t>
      </w:r>
      <w:r w:rsidRPr="006C2CF0">
        <w:rPr>
          <w:sz w:val="24"/>
          <w:szCs w:val="24"/>
        </w:rPr>
        <w:t xml:space="preserve"> организаций коммерческого транспорта по 3</w:t>
      </w:r>
      <w:r w:rsidR="00A01010" w:rsidRPr="006C2CF0">
        <w:rPr>
          <w:sz w:val="24"/>
          <w:szCs w:val="24"/>
        </w:rPr>
        <w:t>3</w:t>
      </w:r>
      <w:r w:rsidRPr="006C2CF0">
        <w:rPr>
          <w:sz w:val="24"/>
          <w:szCs w:val="24"/>
        </w:rPr>
        <w:t xml:space="preserve"> маршрутам. Перевозки по внутримуниципальным маршрутам осуществляются по договорам об осуществлении регулярных перевозок по внутримуниципальным маршрутам городского округа Тольятти, заключенным на 5 лет (с 01.01.2015 г. по 31.12.2019 г.). </w:t>
      </w:r>
    </w:p>
    <w:p w:rsidR="00A50BA4" w:rsidRPr="006C2CF0" w:rsidRDefault="00A50BA4" w:rsidP="0052727C">
      <w:pPr>
        <w:pStyle w:val="aff1"/>
        <w:spacing w:line="276" w:lineRule="auto"/>
        <w:rPr>
          <w:sz w:val="24"/>
          <w:szCs w:val="24"/>
        </w:rPr>
      </w:pPr>
      <w:r w:rsidRPr="006C2CF0">
        <w:rPr>
          <w:sz w:val="24"/>
          <w:szCs w:val="24"/>
        </w:rPr>
        <w:t xml:space="preserve">Пассажирооборот автобусов общего пользования в отчетном периоде </w:t>
      </w:r>
      <w:r w:rsidR="00295A01" w:rsidRPr="006C2CF0">
        <w:rPr>
          <w:sz w:val="24"/>
          <w:szCs w:val="24"/>
        </w:rPr>
        <w:t>снизился</w:t>
      </w:r>
      <w:r w:rsidRPr="006C2CF0">
        <w:rPr>
          <w:sz w:val="24"/>
          <w:szCs w:val="24"/>
        </w:rPr>
        <w:t xml:space="preserve"> на </w:t>
      </w:r>
      <w:r w:rsidR="00295A01" w:rsidRPr="006C2CF0">
        <w:rPr>
          <w:sz w:val="24"/>
          <w:szCs w:val="24"/>
        </w:rPr>
        <w:t>3</w:t>
      </w:r>
      <w:r w:rsidRPr="006C2CF0">
        <w:rPr>
          <w:sz w:val="24"/>
          <w:szCs w:val="24"/>
        </w:rPr>
        <w:t>,</w:t>
      </w:r>
      <w:r w:rsidR="00295A01" w:rsidRPr="006C2CF0">
        <w:rPr>
          <w:sz w:val="24"/>
          <w:szCs w:val="24"/>
        </w:rPr>
        <w:t>6</w:t>
      </w:r>
      <w:r w:rsidRPr="006C2CF0">
        <w:rPr>
          <w:sz w:val="24"/>
          <w:szCs w:val="24"/>
        </w:rPr>
        <w:t xml:space="preserve"> % к январю – июню 201</w:t>
      </w:r>
      <w:r w:rsidR="00295A01" w:rsidRPr="006C2CF0">
        <w:rPr>
          <w:sz w:val="24"/>
          <w:szCs w:val="24"/>
        </w:rPr>
        <w:t>6</w:t>
      </w:r>
      <w:r w:rsidRPr="006C2CF0">
        <w:rPr>
          <w:sz w:val="24"/>
          <w:szCs w:val="24"/>
        </w:rPr>
        <w:t xml:space="preserve"> году до 5</w:t>
      </w:r>
      <w:r w:rsidR="00295A01" w:rsidRPr="006C2CF0">
        <w:rPr>
          <w:sz w:val="24"/>
          <w:szCs w:val="24"/>
        </w:rPr>
        <w:t>2</w:t>
      </w:r>
      <w:r w:rsidRPr="006C2CF0">
        <w:rPr>
          <w:sz w:val="24"/>
          <w:szCs w:val="24"/>
        </w:rPr>
        <w:t>8,</w:t>
      </w:r>
      <w:r w:rsidR="00295A01" w:rsidRPr="006C2CF0">
        <w:rPr>
          <w:sz w:val="24"/>
          <w:szCs w:val="24"/>
        </w:rPr>
        <w:t>7</w:t>
      </w:r>
      <w:r w:rsidRPr="006C2CF0">
        <w:rPr>
          <w:sz w:val="24"/>
          <w:szCs w:val="24"/>
        </w:rPr>
        <w:t xml:space="preserve"> млн. пасс/км.</w:t>
      </w:r>
    </w:p>
    <w:p w:rsidR="00295A01" w:rsidRPr="006C2CF0" w:rsidRDefault="00295A01" w:rsidP="0052727C">
      <w:pPr>
        <w:pStyle w:val="aff1"/>
        <w:spacing w:line="276" w:lineRule="auto"/>
        <w:rPr>
          <w:sz w:val="24"/>
          <w:szCs w:val="24"/>
        </w:rPr>
      </w:pPr>
      <w:r w:rsidRPr="006C2CF0">
        <w:rPr>
          <w:sz w:val="24"/>
          <w:szCs w:val="24"/>
        </w:rPr>
        <w:t>На 01.07.2017 г. на балансе муниципальных пассажирских предприятиях наход</w:t>
      </w:r>
      <w:r w:rsidR="00DF2C3B" w:rsidRPr="006C2CF0">
        <w:rPr>
          <w:sz w:val="24"/>
          <w:szCs w:val="24"/>
        </w:rPr>
        <w:t>ились</w:t>
      </w:r>
      <w:r w:rsidRPr="006C2CF0">
        <w:rPr>
          <w:sz w:val="24"/>
          <w:szCs w:val="24"/>
        </w:rPr>
        <w:t xml:space="preserve"> 319 автобусов и 80 троллейбусов, из них полностью начислена амортизация на 134 автобуса и 55 троллейбусов.</w:t>
      </w:r>
    </w:p>
    <w:p w:rsidR="00295A01" w:rsidRPr="005B206C" w:rsidRDefault="00295A01" w:rsidP="0052727C">
      <w:pPr>
        <w:suppressAutoHyphens w:val="0"/>
        <w:spacing w:line="276" w:lineRule="auto"/>
        <w:ind w:firstLine="709"/>
        <w:jc w:val="both"/>
        <w:rPr>
          <w:sz w:val="24"/>
          <w:szCs w:val="24"/>
        </w:rPr>
      </w:pPr>
      <w:r w:rsidRPr="006C2CF0">
        <w:rPr>
          <w:sz w:val="24"/>
          <w:szCs w:val="24"/>
        </w:rPr>
        <w:t>В отчетном периоде продолжена работа по обеспечению более комфортных условий перевозок пассажиров, в том числе ве</w:t>
      </w:r>
      <w:r w:rsidR="00734FCF" w:rsidRPr="006C2CF0">
        <w:rPr>
          <w:sz w:val="24"/>
          <w:szCs w:val="24"/>
        </w:rPr>
        <w:t>лась</w:t>
      </w:r>
      <w:r w:rsidRPr="006C2CF0">
        <w:rPr>
          <w:sz w:val="24"/>
          <w:szCs w:val="24"/>
        </w:rPr>
        <w:t xml:space="preserve"> работа по приобретению 40 низкопольных троллейбусов с привлечением средств федерального </w:t>
      </w:r>
      <w:r w:rsidR="00734FCF" w:rsidRPr="006C2CF0">
        <w:rPr>
          <w:sz w:val="24"/>
          <w:szCs w:val="24"/>
        </w:rPr>
        <w:t xml:space="preserve"> и </w:t>
      </w:r>
      <w:r w:rsidR="00EF5A36" w:rsidRPr="006C2CF0">
        <w:rPr>
          <w:sz w:val="24"/>
          <w:szCs w:val="24"/>
        </w:rPr>
        <w:t xml:space="preserve">областного </w:t>
      </w:r>
      <w:r w:rsidR="00734FCF" w:rsidRPr="006C2CF0">
        <w:rPr>
          <w:sz w:val="24"/>
          <w:szCs w:val="24"/>
        </w:rPr>
        <w:t xml:space="preserve">бюджетов. </w:t>
      </w:r>
      <w:r w:rsidR="00331740" w:rsidRPr="006C2CF0">
        <w:rPr>
          <w:sz w:val="24"/>
          <w:szCs w:val="24"/>
        </w:rPr>
        <w:t>25.07.2017 заключен</w:t>
      </w:r>
      <w:r w:rsidR="00734FCF" w:rsidRPr="006C2CF0">
        <w:rPr>
          <w:sz w:val="24"/>
          <w:szCs w:val="24"/>
        </w:rPr>
        <w:t xml:space="preserve"> </w:t>
      </w:r>
      <w:r w:rsidR="00331740" w:rsidRPr="006C2CF0">
        <w:rPr>
          <w:sz w:val="24"/>
          <w:szCs w:val="24"/>
        </w:rPr>
        <w:t>муниципальный контракт</w:t>
      </w:r>
      <w:r w:rsidR="00734FCF" w:rsidRPr="006C2CF0">
        <w:rPr>
          <w:sz w:val="24"/>
          <w:szCs w:val="24"/>
        </w:rPr>
        <w:t xml:space="preserve"> по</w:t>
      </w:r>
      <w:r w:rsidRPr="006C2CF0">
        <w:rPr>
          <w:sz w:val="24"/>
          <w:szCs w:val="24"/>
        </w:rPr>
        <w:t xml:space="preserve"> оказани</w:t>
      </w:r>
      <w:r w:rsidR="00734FCF" w:rsidRPr="006C2CF0">
        <w:rPr>
          <w:sz w:val="24"/>
          <w:szCs w:val="24"/>
        </w:rPr>
        <w:t>ю</w:t>
      </w:r>
      <w:r w:rsidRPr="006C2CF0">
        <w:rPr>
          <w:sz w:val="24"/>
          <w:szCs w:val="24"/>
        </w:rPr>
        <w:t xml:space="preserve"> услуг финансовой аренды (лизинга) низкопольных троллейбусов: срок поставки троллейбусов – </w:t>
      </w:r>
      <w:r w:rsidR="00EF5A36" w:rsidRPr="006C2CF0">
        <w:rPr>
          <w:sz w:val="24"/>
          <w:szCs w:val="24"/>
        </w:rPr>
        <w:t>до 01.11.</w:t>
      </w:r>
      <w:r w:rsidRPr="006C2CF0">
        <w:rPr>
          <w:sz w:val="24"/>
          <w:szCs w:val="24"/>
        </w:rPr>
        <w:t xml:space="preserve"> 2017 года.</w:t>
      </w:r>
    </w:p>
    <w:p w:rsidR="00A50BA4" w:rsidRPr="00C032F4" w:rsidRDefault="00A50BA4" w:rsidP="00CF1CBC">
      <w:pPr>
        <w:spacing w:line="276" w:lineRule="auto"/>
        <w:ind w:firstLine="709"/>
        <w:jc w:val="center"/>
        <w:rPr>
          <w:sz w:val="24"/>
          <w:szCs w:val="24"/>
        </w:rPr>
      </w:pPr>
      <w:r w:rsidRPr="00C032F4">
        <w:rPr>
          <w:sz w:val="24"/>
          <w:szCs w:val="24"/>
        </w:rPr>
        <w:t xml:space="preserve">Ожидаемое выполнение прогнозных показателей по разделу «Транспорт» </w:t>
      </w:r>
    </w:p>
    <w:p w:rsidR="00A50BA4" w:rsidRPr="00C032F4" w:rsidRDefault="00A50BA4" w:rsidP="00CF1CBC">
      <w:pPr>
        <w:spacing w:line="276" w:lineRule="auto"/>
        <w:ind w:firstLine="709"/>
        <w:jc w:val="center"/>
        <w:rPr>
          <w:sz w:val="24"/>
          <w:szCs w:val="24"/>
        </w:rPr>
      </w:pPr>
      <w:r w:rsidRPr="00C032F4">
        <w:rPr>
          <w:sz w:val="24"/>
          <w:szCs w:val="24"/>
        </w:rPr>
        <w:t>на 201</w:t>
      </w:r>
      <w:r w:rsidR="00C032F4" w:rsidRPr="00C032F4">
        <w:rPr>
          <w:sz w:val="24"/>
          <w:szCs w:val="24"/>
        </w:rPr>
        <w:t>7</w:t>
      </w:r>
      <w:r w:rsidRPr="00C032F4">
        <w:rPr>
          <w:sz w:val="24"/>
          <w:szCs w:val="24"/>
        </w:rPr>
        <w:t xml:space="preserve"> год</w:t>
      </w:r>
    </w:p>
    <w:p w:rsidR="00A50BA4" w:rsidRPr="00C032F4" w:rsidRDefault="00A50BA4" w:rsidP="009B703E">
      <w:pPr>
        <w:ind w:firstLine="709"/>
        <w:jc w:val="center"/>
        <w:rPr>
          <w:sz w:val="24"/>
          <w:szCs w:val="24"/>
        </w:rPr>
      </w:pPr>
    </w:p>
    <w:tbl>
      <w:tblPr>
        <w:tblW w:w="9581" w:type="dxa"/>
        <w:tblInd w:w="-5" w:type="dxa"/>
        <w:tblLayout w:type="fixed"/>
        <w:tblLook w:val="0000" w:firstRow="0" w:lastRow="0" w:firstColumn="0" w:lastColumn="0" w:noHBand="0" w:noVBand="0"/>
      </w:tblPr>
      <w:tblGrid>
        <w:gridCol w:w="2364"/>
        <w:gridCol w:w="1842"/>
        <w:gridCol w:w="1791"/>
        <w:gridCol w:w="1791"/>
        <w:gridCol w:w="1793"/>
      </w:tblGrid>
      <w:tr w:rsidR="00A50BA4" w:rsidRPr="00C032F4" w:rsidTr="003B59D5">
        <w:tc>
          <w:tcPr>
            <w:tcW w:w="2364" w:type="dxa"/>
            <w:vMerge w:val="restart"/>
            <w:tcBorders>
              <w:top w:val="single" w:sz="4" w:space="0" w:color="000000"/>
              <w:left w:val="single" w:sz="4" w:space="0" w:color="000000"/>
              <w:bottom w:val="single" w:sz="4" w:space="0" w:color="000000"/>
            </w:tcBorders>
            <w:vAlign w:val="center"/>
          </w:tcPr>
          <w:p w:rsidR="00A50BA4" w:rsidRPr="00C032F4" w:rsidRDefault="00A50BA4" w:rsidP="00CF1CBC">
            <w:pPr>
              <w:snapToGrid w:val="0"/>
              <w:spacing w:line="276" w:lineRule="auto"/>
              <w:jc w:val="center"/>
              <w:rPr>
                <w:sz w:val="24"/>
                <w:szCs w:val="24"/>
              </w:rPr>
            </w:pPr>
          </w:p>
          <w:p w:rsidR="00A50BA4" w:rsidRPr="00C032F4" w:rsidRDefault="00A50BA4" w:rsidP="00CF1CBC">
            <w:pPr>
              <w:spacing w:line="276" w:lineRule="auto"/>
              <w:jc w:val="center"/>
              <w:rPr>
                <w:sz w:val="24"/>
                <w:szCs w:val="24"/>
              </w:rPr>
            </w:pPr>
            <w:r w:rsidRPr="00C032F4">
              <w:rPr>
                <w:sz w:val="24"/>
                <w:szCs w:val="24"/>
              </w:rPr>
              <w:t>Показатели</w:t>
            </w:r>
          </w:p>
        </w:tc>
        <w:tc>
          <w:tcPr>
            <w:tcW w:w="1842" w:type="dxa"/>
            <w:vMerge w:val="restart"/>
            <w:tcBorders>
              <w:top w:val="single" w:sz="4" w:space="0" w:color="000000"/>
              <w:left w:val="single" w:sz="4" w:space="0" w:color="000000"/>
              <w:bottom w:val="single" w:sz="4" w:space="0" w:color="000000"/>
            </w:tcBorders>
            <w:vAlign w:val="center"/>
          </w:tcPr>
          <w:p w:rsidR="00A50BA4" w:rsidRPr="00C032F4" w:rsidRDefault="00A50BA4" w:rsidP="00CF1CBC">
            <w:pPr>
              <w:spacing w:line="276" w:lineRule="auto"/>
              <w:jc w:val="center"/>
              <w:rPr>
                <w:sz w:val="24"/>
                <w:szCs w:val="24"/>
              </w:rPr>
            </w:pPr>
            <w:r w:rsidRPr="00C032F4">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tcPr>
          <w:p w:rsidR="00A50BA4" w:rsidRPr="00C032F4" w:rsidRDefault="00A50BA4" w:rsidP="00C032F4">
            <w:pPr>
              <w:spacing w:line="276" w:lineRule="auto"/>
              <w:jc w:val="center"/>
              <w:rPr>
                <w:sz w:val="24"/>
                <w:szCs w:val="24"/>
              </w:rPr>
            </w:pPr>
            <w:r w:rsidRPr="00C032F4">
              <w:rPr>
                <w:sz w:val="24"/>
                <w:szCs w:val="24"/>
              </w:rPr>
              <w:t>Прогноз на 201</w:t>
            </w:r>
            <w:r w:rsidR="00C032F4" w:rsidRPr="00C032F4">
              <w:rPr>
                <w:sz w:val="24"/>
                <w:szCs w:val="24"/>
              </w:rPr>
              <w:t>7</w:t>
            </w:r>
            <w:r w:rsidRPr="00C032F4">
              <w:rPr>
                <w:sz w:val="24"/>
                <w:szCs w:val="24"/>
              </w:rPr>
              <w:t xml:space="preserve"> год</w:t>
            </w:r>
          </w:p>
        </w:tc>
        <w:tc>
          <w:tcPr>
            <w:tcW w:w="1793" w:type="dxa"/>
            <w:vMerge w:val="restart"/>
            <w:tcBorders>
              <w:top w:val="single" w:sz="4" w:space="0" w:color="000000"/>
              <w:left w:val="single" w:sz="4" w:space="0" w:color="000000"/>
              <w:bottom w:val="single" w:sz="4" w:space="0" w:color="000000"/>
              <w:right w:val="single" w:sz="4" w:space="0" w:color="000000"/>
            </w:tcBorders>
          </w:tcPr>
          <w:p w:rsidR="00A50BA4" w:rsidRPr="00C032F4" w:rsidRDefault="00A50BA4" w:rsidP="00C032F4">
            <w:pPr>
              <w:spacing w:line="276" w:lineRule="auto"/>
              <w:jc w:val="center"/>
              <w:rPr>
                <w:sz w:val="24"/>
                <w:szCs w:val="24"/>
              </w:rPr>
            </w:pPr>
            <w:r w:rsidRPr="00C032F4">
              <w:rPr>
                <w:sz w:val="24"/>
                <w:szCs w:val="24"/>
              </w:rPr>
              <w:t>201</w:t>
            </w:r>
            <w:r w:rsidR="00C032F4" w:rsidRPr="00C032F4">
              <w:rPr>
                <w:sz w:val="24"/>
                <w:szCs w:val="24"/>
              </w:rPr>
              <w:t>7</w:t>
            </w:r>
            <w:r w:rsidRPr="00C032F4">
              <w:rPr>
                <w:sz w:val="24"/>
                <w:szCs w:val="24"/>
              </w:rPr>
              <w:t xml:space="preserve"> год (оценка)</w:t>
            </w:r>
          </w:p>
        </w:tc>
      </w:tr>
      <w:tr w:rsidR="00A50BA4" w:rsidRPr="00C032F4" w:rsidTr="003B59D5">
        <w:trPr>
          <w:trHeight w:val="249"/>
        </w:trPr>
        <w:tc>
          <w:tcPr>
            <w:tcW w:w="2364" w:type="dxa"/>
            <w:vMerge/>
            <w:tcBorders>
              <w:top w:val="single" w:sz="4" w:space="0" w:color="000000"/>
              <w:left w:val="single" w:sz="4" w:space="0" w:color="000000"/>
              <w:bottom w:val="single" w:sz="4" w:space="0" w:color="000000"/>
            </w:tcBorders>
          </w:tcPr>
          <w:p w:rsidR="00A50BA4" w:rsidRPr="00C032F4" w:rsidRDefault="00A50BA4" w:rsidP="00CF1CBC">
            <w:pPr>
              <w:snapToGrid w:val="0"/>
              <w:spacing w:line="276" w:lineRule="auto"/>
              <w:jc w:val="center"/>
              <w:rPr>
                <w:sz w:val="24"/>
                <w:szCs w:val="24"/>
              </w:rPr>
            </w:pPr>
          </w:p>
        </w:tc>
        <w:tc>
          <w:tcPr>
            <w:tcW w:w="1842" w:type="dxa"/>
            <w:vMerge/>
            <w:tcBorders>
              <w:top w:val="single" w:sz="4" w:space="0" w:color="000000"/>
              <w:left w:val="single" w:sz="4" w:space="0" w:color="000000"/>
              <w:bottom w:val="single" w:sz="4" w:space="0" w:color="000000"/>
            </w:tcBorders>
          </w:tcPr>
          <w:p w:rsidR="00A50BA4" w:rsidRPr="00C032F4" w:rsidRDefault="00A50BA4" w:rsidP="00CF1CBC">
            <w:pPr>
              <w:snapToGrid w:val="0"/>
              <w:spacing w:line="276" w:lineRule="auto"/>
              <w:jc w:val="center"/>
              <w:rPr>
                <w:sz w:val="24"/>
                <w:szCs w:val="24"/>
              </w:rPr>
            </w:pPr>
          </w:p>
        </w:tc>
        <w:tc>
          <w:tcPr>
            <w:tcW w:w="1791" w:type="dxa"/>
            <w:tcBorders>
              <w:top w:val="single" w:sz="4" w:space="0" w:color="000000"/>
              <w:left w:val="single" w:sz="4" w:space="0" w:color="000000"/>
              <w:bottom w:val="single" w:sz="4" w:space="0" w:color="000000"/>
            </w:tcBorders>
          </w:tcPr>
          <w:p w:rsidR="00A50BA4" w:rsidRPr="00C032F4" w:rsidRDefault="00A50BA4" w:rsidP="00CF1CBC">
            <w:pPr>
              <w:spacing w:line="276" w:lineRule="auto"/>
              <w:jc w:val="center"/>
              <w:rPr>
                <w:sz w:val="24"/>
                <w:szCs w:val="24"/>
              </w:rPr>
            </w:pPr>
            <w:r w:rsidRPr="00C032F4">
              <w:rPr>
                <w:sz w:val="24"/>
                <w:szCs w:val="24"/>
              </w:rPr>
              <w:t>1 вариант</w:t>
            </w:r>
          </w:p>
        </w:tc>
        <w:tc>
          <w:tcPr>
            <w:tcW w:w="1791" w:type="dxa"/>
            <w:tcBorders>
              <w:top w:val="single" w:sz="4" w:space="0" w:color="000000"/>
              <w:left w:val="single" w:sz="4" w:space="0" w:color="000000"/>
              <w:bottom w:val="single" w:sz="4" w:space="0" w:color="000000"/>
            </w:tcBorders>
          </w:tcPr>
          <w:p w:rsidR="00A50BA4" w:rsidRPr="00C032F4" w:rsidRDefault="00A50BA4" w:rsidP="00CF1CBC">
            <w:pPr>
              <w:spacing w:line="276" w:lineRule="auto"/>
              <w:jc w:val="center"/>
              <w:rPr>
                <w:sz w:val="24"/>
                <w:szCs w:val="24"/>
              </w:rPr>
            </w:pPr>
            <w:r w:rsidRPr="00C032F4">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tcPr>
          <w:p w:rsidR="00A50BA4" w:rsidRPr="00C032F4" w:rsidRDefault="00A50BA4" w:rsidP="00CF1CBC">
            <w:pPr>
              <w:snapToGrid w:val="0"/>
              <w:spacing w:line="276" w:lineRule="auto"/>
              <w:jc w:val="center"/>
              <w:rPr>
                <w:sz w:val="24"/>
                <w:szCs w:val="24"/>
              </w:rPr>
            </w:pPr>
          </w:p>
        </w:tc>
      </w:tr>
      <w:tr w:rsidR="00A50BA4" w:rsidRPr="00C032F4" w:rsidTr="003B59D5">
        <w:tc>
          <w:tcPr>
            <w:tcW w:w="2364" w:type="dxa"/>
            <w:tcBorders>
              <w:top w:val="single" w:sz="4" w:space="0" w:color="000000"/>
              <w:left w:val="single" w:sz="4" w:space="0" w:color="000000"/>
              <w:bottom w:val="single" w:sz="4" w:space="0" w:color="000000"/>
            </w:tcBorders>
          </w:tcPr>
          <w:p w:rsidR="00A50BA4" w:rsidRPr="00C032F4" w:rsidRDefault="00A50BA4" w:rsidP="00CF1CBC">
            <w:pPr>
              <w:spacing w:line="276" w:lineRule="auto"/>
              <w:rPr>
                <w:sz w:val="24"/>
                <w:szCs w:val="24"/>
              </w:rPr>
            </w:pPr>
            <w:r w:rsidRPr="00C032F4">
              <w:rPr>
                <w:sz w:val="24"/>
                <w:szCs w:val="24"/>
              </w:rPr>
              <w:t>Грузооборот</w:t>
            </w:r>
          </w:p>
        </w:tc>
        <w:tc>
          <w:tcPr>
            <w:tcW w:w="1842" w:type="dxa"/>
            <w:tcBorders>
              <w:top w:val="single" w:sz="4" w:space="0" w:color="000000"/>
              <w:left w:val="single" w:sz="4" w:space="0" w:color="000000"/>
              <w:bottom w:val="single" w:sz="4" w:space="0" w:color="000000"/>
            </w:tcBorders>
          </w:tcPr>
          <w:p w:rsidR="00A50BA4" w:rsidRPr="00C032F4" w:rsidRDefault="00A50BA4" w:rsidP="00CF1CBC">
            <w:pPr>
              <w:spacing w:line="276" w:lineRule="auto"/>
              <w:jc w:val="center"/>
              <w:rPr>
                <w:sz w:val="24"/>
                <w:szCs w:val="24"/>
              </w:rPr>
            </w:pPr>
            <w:r w:rsidRPr="00C032F4">
              <w:rPr>
                <w:sz w:val="24"/>
                <w:szCs w:val="24"/>
              </w:rPr>
              <w:t>млн. т. км</w:t>
            </w:r>
          </w:p>
        </w:tc>
        <w:tc>
          <w:tcPr>
            <w:tcW w:w="1791" w:type="dxa"/>
            <w:tcBorders>
              <w:top w:val="single" w:sz="4" w:space="0" w:color="000000"/>
              <w:left w:val="single" w:sz="4" w:space="0" w:color="000000"/>
              <w:bottom w:val="single" w:sz="4" w:space="0" w:color="000000"/>
            </w:tcBorders>
          </w:tcPr>
          <w:p w:rsidR="00A50BA4" w:rsidRPr="00C032F4" w:rsidRDefault="00C032F4" w:rsidP="00CF1CBC">
            <w:pPr>
              <w:spacing w:line="276" w:lineRule="auto"/>
              <w:jc w:val="center"/>
              <w:rPr>
                <w:sz w:val="24"/>
                <w:szCs w:val="24"/>
              </w:rPr>
            </w:pPr>
            <w:r w:rsidRPr="00C032F4">
              <w:rPr>
                <w:sz w:val="24"/>
                <w:szCs w:val="24"/>
              </w:rPr>
              <w:t>162,7</w:t>
            </w:r>
          </w:p>
        </w:tc>
        <w:tc>
          <w:tcPr>
            <w:tcW w:w="1791" w:type="dxa"/>
            <w:tcBorders>
              <w:top w:val="single" w:sz="4" w:space="0" w:color="000000"/>
              <w:left w:val="single" w:sz="4" w:space="0" w:color="000000"/>
              <w:bottom w:val="single" w:sz="4" w:space="0" w:color="000000"/>
            </w:tcBorders>
          </w:tcPr>
          <w:p w:rsidR="00A50BA4" w:rsidRPr="00C032F4" w:rsidRDefault="00C032F4" w:rsidP="00CF1CBC">
            <w:pPr>
              <w:spacing w:line="276" w:lineRule="auto"/>
              <w:jc w:val="center"/>
              <w:rPr>
                <w:sz w:val="24"/>
                <w:szCs w:val="24"/>
              </w:rPr>
            </w:pPr>
            <w:r w:rsidRPr="00C032F4">
              <w:rPr>
                <w:sz w:val="24"/>
                <w:szCs w:val="24"/>
              </w:rPr>
              <w:t>170,7</w:t>
            </w:r>
          </w:p>
        </w:tc>
        <w:tc>
          <w:tcPr>
            <w:tcW w:w="1793" w:type="dxa"/>
            <w:tcBorders>
              <w:top w:val="single" w:sz="4" w:space="0" w:color="000000"/>
              <w:left w:val="single" w:sz="4" w:space="0" w:color="000000"/>
              <w:bottom w:val="single" w:sz="4" w:space="0" w:color="000000"/>
              <w:right w:val="single" w:sz="4" w:space="0" w:color="000000"/>
            </w:tcBorders>
          </w:tcPr>
          <w:p w:rsidR="00A50BA4" w:rsidRPr="00C032F4" w:rsidRDefault="00C032F4" w:rsidP="00CF1CBC">
            <w:pPr>
              <w:spacing w:line="276" w:lineRule="auto"/>
              <w:jc w:val="center"/>
              <w:rPr>
                <w:sz w:val="24"/>
                <w:szCs w:val="24"/>
              </w:rPr>
            </w:pPr>
            <w:r w:rsidRPr="00C032F4">
              <w:rPr>
                <w:sz w:val="24"/>
                <w:szCs w:val="24"/>
              </w:rPr>
              <w:t>241,5</w:t>
            </w:r>
          </w:p>
        </w:tc>
      </w:tr>
      <w:tr w:rsidR="00A50BA4" w:rsidRPr="00C032F4" w:rsidTr="003B59D5">
        <w:tc>
          <w:tcPr>
            <w:tcW w:w="2364" w:type="dxa"/>
            <w:tcBorders>
              <w:top w:val="single" w:sz="4" w:space="0" w:color="000000"/>
              <w:left w:val="single" w:sz="4" w:space="0" w:color="000000"/>
              <w:bottom w:val="single" w:sz="4" w:space="0" w:color="000000"/>
            </w:tcBorders>
          </w:tcPr>
          <w:p w:rsidR="00A50BA4" w:rsidRPr="00C032F4" w:rsidRDefault="00A50BA4" w:rsidP="00CF1CBC">
            <w:pPr>
              <w:spacing w:line="276" w:lineRule="auto"/>
              <w:rPr>
                <w:sz w:val="24"/>
                <w:szCs w:val="24"/>
              </w:rPr>
            </w:pPr>
            <w:r w:rsidRPr="00C032F4">
              <w:rPr>
                <w:sz w:val="24"/>
                <w:szCs w:val="24"/>
              </w:rPr>
              <w:t>Пассажирооборот</w:t>
            </w:r>
          </w:p>
        </w:tc>
        <w:tc>
          <w:tcPr>
            <w:tcW w:w="1842" w:type="dxa"/>
            <w:tcBorders>
              <w:top w:val="single" w:sz="4" w:space="0" w:color="000000"/>
              <w:left w:val="single" w:sz="4" w:space="0" w:color="000000"/>
              <w:bottom w:val="single" w:sz="4" w:space="0" w:color="000000"/>
            </w:tcBorders>
          </w:tcPr>
          <w:p w:rsidR="00A50BA4" w:rsidRPr="00C032F4" w:rsidRDefault="00A50BA4" w:rsidP="00CF1CBC">
            <w:pPr>
              <w:spacing w:line="276" w:lineRule="auto"/>
              <w:jc w:val="center"/>
              <w:rPr>
                <w:sz w:val="24"/>
                <w:szCs w:val="24"/>
              </w:rPr>
            </w:pPr>
            <w:r w:rsidRPr="00C032F4">
              <w:rPr>
                <w:sz w:val="24"/>
                <w:szCs w:val="24"/>
              </w:rPr>
              <w:t>млн. пасс. км</w:t>
            </w:r>
          </w:p>
        </w:tc>
        <w:tc>
          <w:tcPr>
            <w:tcW w:w="1791" w:type="dxa"/>
            <w:tcBorders>
              <w:top w:val="single" w:sz="4" w:space="0" w:color="000000"/>
              <w:left w:val="single" w:sz="4" w:space="0" w:color="000000"/>
              <w:bottom w:val="single" w:sz="4" w:space="0" w:color="000000"/>
            </w:tcBorders>
          </w:tcPr>
          <w:p w:rsidR="00A50BA4" w:rsidRPr="00C032F4" w:rsidRDefault="00C032F4" w:rsidP="00CF1CBC">
            <w:pPr>
              <w:spacing w:line="276" w:lineRule="auto"/>
              <w:jc w:val="center"/>
              <w:rPr>
                <w:sz w:val="24"/>
                <w:szCs w:val="24"/>
              </w:rPr>
            </w:pPr>
            <w:r w:rsidRPr="00C032F4">
              <w:rPr>
                <w:sz w:val="24"/>
                <w:szCs w:val="24"/>
              </w:rPr>
              <w:t>1050</w:t>
            </w:r>
          </w:p>
        </w:tc>
        <w:tc>
          <w:tcPr>
            <w:tcW w:w="1791" w:type="dxa"/>
            <w:tcBorders>
              <w:top w:val="single" w:sz="4" w:space="0" w:color="000000"/>
              <w:left w:val="single" w:sz="4" w:space="0" w:color="000000"/>
              <w:bottom w:val="single" w:sz="4" w:space="0" w:color="000000"/>
            </w:tcBorders>
          </w:tcPr>
          <w:p w:rsidR="00A50BA4" w:rsidRPr="00C032F4" w:rsidRDefault="00C032F4" w:rsidP="00CF1CBC">
            <w:pPr>
              <w:spacing w:line="276" w:lineRule="auto"/>
              <w:jc w:val="center"/>
              <w:rPr>
                <w:sz w:val="24"/>
                <w:szCs w:val="24"/>
              </w:rPr>
            </w:pPr>
            <w:r w:rsidRPr="00C032F4">
              <w:rPr>
                <w:sz w:val="24"/>
                <w:szCs w:val="24"/>
              </w:rPr>
              <w:t>1122</w:t>
            </w:r>
          </w:p>
        </w:tc>
        <w:tc>
          <w:tcPr>
            <w:tcW w:w="1793" w:type="dxa"/>
            <w:tcBorders>
              <w:top w:val="single" w:sz="4" w:space="0" w:color="000000"/>
              <w:left w:val="single" w:sz="4" w:space="0" w:color="000000"/>
              <w:bottom w:val="single" w:sz="4" w:space="0" w:color="000000"/>
              <w:right w:val="single" w:sz="4" w:space="0" w:color="000000"/>
            </w:tcBorders>
          </w:tcPr>
          <w:p w:rsidR="00A50BA4" w:rsidRPr="00C032F4" w:rsidRDefault="00C032F4" w:rsidP="00CF1CBC">
            <w:pPr>
              <w:spacing w:line="276" w:lineRule="auto"/>
              <w:jc w:val="center"/>
              <w:rPr>
                <w:sz w:val="24"/>
                <w:szCs w:val="24"/>
                <w:shd w:val="clear" w:color="auto" w:fill="FFFF00"/>
              </w:rPr>
            </w:pPr>
            <w:r w:rsidRPr="00C032F4">
              <w:rPr>
                <w:sz w:val="24"/>
                <w:szCs w:val="24"/>
              </w:rPr>
              <w:t>1029,9</w:t>
            </w:r>
          </w:p>
        </w:tc>
      </w:tr>
    </w:tbl>
    <w:p w:rsidR="00A50BA4" w:rsidRPr="00C032F4" w:rsidRDefault="00A50BA4" w:rsidP="00A423B6">
      <w:pPr>
        <w:pStyle w:val="aff1"/>
        <w:spacing w:line="276" w:lineRule="auto"/>
        <w:rPr>
          <w:sz w:val="24"/>
          <w:szCs w:val="24"/>
        </w:rPr>
      </w:pPr>
    </w:p>
    <w:p w:rsidR="00394A4D" w:rsidRDefault="0052727C" w:rsidP="00A423B6">
      <w:pPr>
        <w:pStyle w:val="aff1"/>
        <w:spacing w:line="276" w:lineRule="auto"/>
        <w:rPr>
          <w:sz w:val="24"/>
          <w:szCs w:val="24"/>
        </w:rPr>
      </w:pPr>
      <w:r>
        <w:rPr>
          <w:sz w:val="24"/>
          <w:szCs w:val="24"/>
        </w:rPr>
        <w:t>Н</w:t>
      </w:r>
      <w:r w:rsidR="00A50BA4" w:rsidRPr="00C032F4">
        <w:rPr>
          <w:sz w:val="24"/>
          <w:szCs w:val="24"/>
        </w:rPr>
        <w:t xml:space="preserve">а основании фактических данных </w:t>
      </w:r>
      <w:r w:rsidR="00394A4D">
        <w:rPr>
          <w:sz w:val="24"/>
          <w:szCs w:val="24"/>
        </w:rPr>
        <w:t>за 2016 год</w:t>
      </w:r>
      <w:r w:rsidR="0087520C">
        <w:rPr>
          <w:sz w:val="24"/>
          <w:szCs w:val="24"/>
        </w:rPr>
        <w:t xml:space="preserve"> (рост показателя к 2015 году составил 32,1 %)</w:t>
      </w:r>
      <w:r w:rsidR="00B677A1">
        <w:rPr>
          <w:sz w:val="24"/>
          <w:szCs w:val="24"/>
        </w:rPr>
        <w:t xml:space="preserve"> и</w:t>
      </w:r>
      <w:r w:rsidR="00394A4D">
        <w:rPr>
          <w:sz w:val="24"/>
          <w:szCs w:val="24"/>
        </w:rPr>
        <w:t xml:space="preserve"> </w:t>
      </w:r>
      <w:r w:rsidR="00A50BA4" w:rsidRPr="00C032F4">
        <w:rPr>
          <w:sz w:val="24"/>
          <w:szCs w:val="24"/>
        </w:rPr>
        <w:t>з</w:t>
      </w:r>
      <w:r w:rsidR="00AD4E99" w:rsidRPr="00C032F4">
        <w:rPr>
          <w:sz w:val="24"/>
          <w:szCs w:val="24"/>
        </w:rPr>
        <w:t>а истекший период текущего года</w:t>
      </w:r>
      <w:r w:rsidR="0087520C">
        <w:rPr>
          <w:sz w:val="24"/>
          <w:szCs w:val="24"/>
        </w:rPr>
        <w:t xml:space="preserve"> (в 1 полугодии 2017 года к аналогичному периоду 2016 года – 124,4 %)</w:t>
      </w:r>
      <w:r w:rsidR="00B677A1">
        <w:rPr>
          <w:sz w:val="24"/>
          <w:szCs w:val="24"/>
        </w:rPr>
        <w:t>,</w:t>
      </w:r>
      <w:r w:rsidR="00AD4E99" w:rsidRPr="00C032F4">
        <w:rPr>
          <w:sz w:val="24"/>
          <w:szCs w:val="24"/>
        </w:rPr>
        <w:t xml:space="preserve"> </w:t>
      </w:r>
      <w:r w:rsidR="00A50BA4" w:rsidRPr="00C032F4">
        <w:rPr>
          <w:sz w:val="24"/>
          <w:szCs w:val="24"/>
        </w:rPr>
        <w:t>показатель грузооборота, по оценке 201</w:t>
      </w:r>
      <w:r w:rsidR="00C032F4" w:rsidRPr="00C032F4">
        <w:rPr>
          <w:sz w:val="24"/>
          <w:szCs w:val="24"/>
        </w:rPr>
        <w:t>7</w:t>
      </w:r>
      <w:r w:rsidR="00A50BA4" w:rsidRPr="00C032F4">
        <w:rPr>
          <w:sz w:val="24"/>
          <w:szCs w:val="24"/>
        </w:rPr>
        <w:t xml:space="preserve"> года, увеличен по сравнению с прогнозом, рассчитанным в 201</w:t>
      </w:r>
      <w:r w:rsidR="00C032F4" w:rsidRPr="00C032F4">
        <w:rPr>
          <w:sz w:val="24"/>
          <w:szCs w:val="24"/>
        </w:rPr>
        <w:t>6</w:t>
      </w:r>
      <w:r w:rsidR="00A50BA4" w:rsidRPr="00C032F4">
        <w:rPr>
          <w:sz w:val="24"/>
          <w:szCs w:val="24"/>
        </w:rPr>
        <w:t xml:space="preserve"> году, до </w:t>
      </w:r>
      <w:r w:rsidR="00C032F4" w:rsidRPr="00C032F4">
        <w:rPr>
          <w:sz w:val="24"/>
          <w:szCs w:val="24"/>
        </w:rPr>
        <w:t>241</w:t>
      </w:r>
      <w:r w:rsidR="00A50BA4" w:rsidRPr="00C032F4">
        <w:rPr>
          <w:sz w:val="24"/>
          <w:szCs w:val="24"/>
        </w:rPr>
        <w:t>,</w:t>
      </w:r>
      <w:r w:rsidR="00C032F4" w:rsidRPr="00C032F4">
        <w:rPr>
          <w:sz w:val="24"/>
          <w:szCs w:val="24"/>
        </w:rPr>
        <w:t>5</w:t>
      </w:r>
      <w:r w:rsidR="00A50BA4" w:rsidRPr="00C032F4">
        <w:rPr>
          <w:sz w:val="24"/>
          <w:szCs w:val="24"/>
        </w:rPr>
        <w:t xml:space="preserve"> млн.</w:t>
      </w:r>
      <w:r w:rsidR="00C032F4" w:rsidRPr="00C032F4">
        <w:rPr>
          <w:sz w:val="24"/>
          <w:szCs w:val="24"/>
        </w:rPr>
        <w:t xml:space="preserve"> </w:t>
      </w:r>
      <w:r w:rsidR="00A50BA4" w:rsidRPr="00C032F4">
        <w:rPr>
          <w:sz w:val="24"/>
          <w:szCs w:val="24"/>
        </w:rPr>
        <w:t>т.</w:t>
      </w:r>
      <w:r w:rsidR="00815413">
        <w:rPr>
          <w:sz w:val="24"/>
          <w:szCs w:val="24"/>
        </w:rPr>
        <w:t xml:space="preserve"> км.</w:t>
      </w:r>
      <w:r w:rsidR="00C032F4" w:rsidRPr="00C032F4">
        <w:rPr>
          <w:sz w:val="24"/>
          <w:szCs w:val="24"/>
        </w:rPr>
        <w:t xml:space="preserve"> </w:t>
      </w:r>
    </w:p>
    <w:p w:rsidR="00A50BA4" w:rsidRDefault="00B677A1" w:rsidP="00A423B6">
      <w:pPr>
        <w:pStyle w:val="aff1"/>
        <w:spacing w:line="276" w:lineRule="auto"/>
        <w:rPr>
          <w:sz w:val="24"/>
          <w:szCs w:val="24"/>
        </w:rPr>
      </w:pPr>
      <w:r>
        <w:rPr>
          <w:sz w:val="24"/>
          <w:szCs w:val="24"/>
        </w:rPr>
        <w:t>П</w:t>
      </w:r>
      <w:r w:rsidR="00C032F4" w:rsidRPr="00C032F4">
        <w:rPr>
          <w:sz w:val="24"/>
          <w:szCs w:val="24"/>
        </w:rPr>
        <w:t>оказатель пассажирооборота</w:t>
      </w:r>
      <w:r w:rsidR="0087520C">
        <w:rPr>
          <w:sz w:val="24"/>
          <w:szCs w:val="24"/>
        </w:rPr>
        <w:t>, по оценке 2017 года,</w:t>
      </w:r>
      <w:r>
        <w:rPr>
          <w:sz w:val="24"/>
          <w:szCs w:val="24"/>
        </w:rPr>
        <w:t xml:space="preserve"> снижен до 1029,9 млн. пасс. км</w:t>
      </w:r>
      <w:r w:rsidR="0087520C">
        <w:rPr>
          <w:sz w:val="24"/>
          <w:szCs w:val="24"/>
        </w:rPr>
        <w:t xml:space="preserve"> на основании фактических данных за истекший период 2017 года</w:t>
      </w:r>
      <w:r w:rsidR="005B150F">
        <w:rPr>
          <w:sz w:val="24"/>
          <w:szCs w:val="24"/>
        </w:rPr>
        <w:t xml:space="preserve"> (96,4 % к 1 полугодию 2016 года)</w:t>
      </w:r>
      <w:r w:rsidR="00BE2E1A">
        <w:rPr>
          <w:sz w:val="24"/>
          <w:szCs w:val="24"/>
        </w:rPr>
        <w:t>.</w:t>
      </w:r>
    </w:p>
    <w:p w:rsidR="00E153B5" w:rsidRDefault="00E153B5" w:rsidP="00F32EDE">
      <w:pPr>
        <w:spacing w:line="276" w:lineRule="auto"/>
        <w:ind w:firstLine="709"/>
        <w:jc w:val="center"/>
        <w:rPr>
          <w:b/>
          <w:sz w:val="24"/>
          <w:szCs w:val="24"/>
        </w:rPr>
      </w:pPr>
    </w:p>
    <w:p w:rsidR="00A50BA4" w:rsidRPr="0005237A" w:rsidRDefault="00A50BA4" w:rsidP="00F32EDE">
      <w:pPr>
        <w:spacing w:line="276" w:lineRule="auto"/>
        <w:ind w:firstLine="709"/>
        <w:jc w:val="center"/>
        <w:rPr>
          <w:b/>
          <w:sz w:val="24"/>
          <w:szCs w:val="24"/>
        </w:rPr>
      </w:pPr>
      <w:r w:rsidRPr="0005237A">
        <w:rPr>
          <w:b/>
          <w:sz w:val="24"/>
          <w:szCs w:val="24"/>
        </w:rPr>
        <w:t>Связь</w:t>
      </w:r>
    </w:p>
    <w:p w:rsidR="00A50BA4" w:rsidRPr="005A34F1" w:rsidRDefault="00A50BA4" w:rsidP="00F32EDE">
      <w:pPr>
        <w:spacing w:line="276" w:lineRule="auto"/>
        <w:ind w:firstLine="709"/>
        <w:jc w:val="center"/>
        <w:rPr>
          <w:b/>
          <w:sz w:val="24"/>
          <w:szCs w:val="24"/>
          <w:highlight w:val="yellow"/>
        </w:rPr>
      </w:pPr>
    </w:p>
    <w:p w:rsidR="00A50BA4" w:rsidRPr="0005237A" w:rsidRDefault="00A50BA4" w:rsidP="00AD4E99">
      <w:pPr>
        <w:pStyle w:val="aff1"/>
        <w:spacing w:line="276" w:lineRule="auto"/>
        <w:rPr>
          <w:sz w:val="24"/>
          <w:szCs w:val="24"/>
        </w:rPr>
      </w:pPr>
      <w:r w:rsidRPr="0005237A">
        <w:rPr>
          <w:sz w:val="24"/>
          <w:szCs w:val="24"/>
        </w:rPr>
        <w:t>Общее количество установленных квартирных телефонных аппаратов сети общего пользования в городском округе Тольятти по состоянию на 01.07.201</w:t>
      </w:r>
      <w:r w:rsidR="0005237A" w:rsidRPr="0005237A">
        <w:rPr>
          <w:sz w:val="24"/>
          <w:szCs w:val="24"/>
        </w:rPr>
        <w:t>7</w:t>
      </w:r>
      <w:r w:rsidRPr="0005237A">
        <w:rPr>
          <w:sz w:val="24"/>
          <w:szCs w:val="24"/>
        </w:rPr>
        <w:t xml:space="preserve"> г. составило 1</w:t>
      </w:r>
      <w:r w:rsidR="0005237A" w:rsidRPr="0005237A">
        <w:rPr>
          <w:sz w:val="24"/>
          <w:szCs w:val="24"/>
        </w:rPr>
        <w:t>1</w:t>
      </w:r>
      <w:r w:rsidR="003F5152">
        <w:rPr>
          <w:sz w:val="24"/>
          <w:szCs w:val="24"/>
        </w:rPr>
        <w:t>2</w:t>
      </w:r>
      <w:r w:rsidRPr="0005237A">
        <w:rPr>
          <w:sz w:val="24"/>
          <w:szCs w:val="24"/>
        </w:rPr>
        <w:t>,</w:t>
      </w:r>
      <w:r w:rsidR="0005237A" w:rsidRPr="0005237A">
        <w:rPr>
          <w:sz w:val="24"/>
          <w:szCs w:val="24"/>
        </w:rPr>
        <w:t>1</w:t>
      </w:r>
      <w:r w:rsidRPr="0005237A">
        <w:rPr>
          <w:sz w:val="24"/>
          <w:szCs w:val="24"/>
        </w:rPr>
        <w:t xml:space="preserve"> тыс. единиц, что на 1</w:t>
      </w:r>
      <w:r w:rsidR="003F5152">
        <w:rPr>
          <w:sz w:val="24"/>
          <w:szCs w:val="24"/>
        </w:rPr>
        <w:t>5</w:t>
      </w:r>
      <w:r w:rsidR="0005237A" w:rsidRPr="0005237A">
        <w:rPr>
          <w:sz w:val="24"/>
          <w:szCs w:val="24"/>
        </w:rPr>
        <w:t>,</w:t>
      </w:r>
      <w:r w:rsidR="003F5152">
        <w:rPr>
          <w:sz w:val="24"/>
          <w:szCs w:val="24"/>
        </w:rPr>
        <w:t>6</w:t>
      </w:r>
      <w:r w:rsidR="0005237A" w:rsidRPr="0005237A">
        <w:rPr>
          <w:sz w:val="24"/>
          <w:szCs w:val="24"/>
        </w:rPr>
        <w:t xml:space="preserve"> </w:t>
      </w:r>
      <w:r w:rsidRPr="0005237A">
        <w:rPr>
          <w:sz w:val="24"/>
          <w:szCs w:val="24"/>
        </w:rPr>
        <w:t>% ниже 1 полугодия 201</w:t>
      </w:r>
      <w:r w:rsidR="0005237A" w:rsidRPr="0005237A">
        <w:rPr>
          <w:sz w:val="24"/>
          <w:szCs w:val="24"/>
        </w:rPr>
        <w:t>6</w:t>
      </w:r>
      <w:r w:rsidRPr="0005237A">
        <w:rPr>
          <w:sz w:val="24"/>
          <w:szCs w:val="24"/>
        </w:rPr>
        <w:t> года, обеспеченность населения квартирными телефонными аппаратами сети общего пользования в отчетном периоде – 1</w:t>
      </w:r>
      <w:r w:rsidR="0005237A" w:rsidRPr="0005237A">
        <w:rPr>
          <w:sz w:val="24"/>
          <w:szCs w:val="24"/>
        </w:rPr>
        <w:t>6</w:t>
      </w:r>
      <w:r w:rsidRPr="0005237A">
        <w:rPr>
          <w:sz w:val="24"/>
          <w:szCs w:val="24"/>
        </w:rPr>
        <w:t>,</w:t>
      </w:r>
      <w:r w:rsidR="003F5152">
        <w:rPr>
          <w:sz w:val="24"/>
          <w:szCs w:val="24"/>
        </w:rPr>
        <w:t>6</w:t>
      </w:r>
      <w:r w:rsidRPr="0005237A">
        <w:rPr>
          <w:sz w:val="24"/>
          <w:szCs w:val="24"/>
        </w:rPr>
        <w:t xml:space="preserve"> телефонных аппаратов на 100 жителей.  </w:t>
      </w:r>
    </w:p>
    <w:p w:rsidR="00A50BA4" w:rsidRPr="0005237A" w:rsidRDefault="00A50BA4" w:rsidP="00AD4E99">
      <w:pPr>
        <w:pStyle w:val="112"/>
        <w:spacing w:line="276" w:lineRule="auto"/>
        <w:ind w:firstLine="709"/>
        <w:rPr>
          <w:rFonts w:ascii="Times New Roman" w:hAnsi="Times New Roman" w:cs="Times New Roman"/>
          <w:color w:val="000000"/>
          <w:sz w:val="24"/>
          <w:szCs w:val="24"/>
        </w:rPr>
      </w:pPr>
      <w:r w:rsidRPr="0005237A">
        <w:rPr>
          <w:rFonts w:ascii="Times New Roman" w:hAnsi="Times New Roman" w:cs="Times New Roman"/>
          <w:color w:val="000000"/>
          <w:sz w:val="24"/>
          <w:szCs w:val="24"/>
        </w:rPr>
        <w:t>До конца 201</w:t>
      </w:r>
      <w:r w:rsidR="0005237A" w:rsidRPr="0005237A">
        <w:rPr>
          <w:rFonts w:ascii="Times New Roman" w:hAnsi="Times New Roman" w:cs="Times New Roman"/>
          <w:color w:val="000000"/>
          <w:sz w:val="24"/>
          <w:szCs w:val="24"/>
        </w:rPr>
        <w:t>7</w:t>
      </w:r>
      <w:r w:rsidRPr="0005237A">
        <w:rPr>
          <w:rFonts w:ascii="Times New Roman" w:hAnsi="Times New Roman" w:cs="Times New Roman"/>
          <w:color w:val="000000"/>
          <w:sz w:val="24"/>
          <w:szCs w:val="24"/>
        </w:rPr>
        <w:t xml:space="preserve"> года ожидается </w:t>
      </w:r>
      <w:r w:rsidR="003F5152">
        <w:rPr>
          <w:rFonts w:ascii="Times New Roman" w:hAnsi="Times New Roman" w:cs="Times New Roman"/>
          <w:color w:val="000000"/>
          <w:sz w:val="24"/>
          <w:szCs w:val="24"/>
        </w:rPr>
        <w:t>снижение</w:t>
      </w:r>
      <w:r w:rsidRPr="0005237A">
        <w:rPr>
          <w:rFonts w:ascii="Times New Roman" w:hAnsi="Times New Roman" w:cs="Times New Roman"/>
          <w:color w:val="000000"/>
          <w:sz w:val="24"/>
          <w:szCs w:val="24"/>
        </w:rPr>
        <w:t xml:space="preserve"> обеспеченности населения квартирными телефонными аппаратами сети общего пользования до 1</w:t>
      </w:r>
      <w:r w:rsidR="0005237A" w:rsidRPr="0005237A">
        <w:rPr>
          <w:rFonts w:ascii="Times New Roman" w:hAnsi="Times New Roman" w:cs="Times New Roman"/>
          <w:color w:val="000000"/>
          <w:sz w:val="24"/>
          <w:szCs w:val="24"/>
        </w:rPr>
        <w:t>6</w:t>
      </w:r>
      <w:r w:rsidRPr="0005237A">
        <w:rPr>
          <w:rFonts w:ascii="Times New Roman" w:hAnsi="Times New Roman" w:cs="Times New Roman"/>
          <w:color w:val="000000"/>
          <w:sz w:val="24"/>
          <w:szCs w:val="24"/>
        </w:rPr>
        <w:t>,</w:t>
      </w:r>
      <w:r w:rsidR="0005237A" w:rsidRPr="0005237A">
        <w:rPr>
          <w:rFonts w:ascii="Times New Roman" w:hAnsi="Times New Roman" w:cs="Times New Roman"/>
          <w:color w:val="000000"/>
          <w:sz w:val="24"/>
          <w:szCs w:val="24"/>
        </w:rPr>
        <w:t>6</w:t>
      </w:r>
      <w:r w:rsidRPr="0005237A">
        <w:rPr>
          <w:rFonts w:ascii="Times New Roman" w:hAnsi="Times New Roman" w:cs="Times New Roman"/>
          <w:color w:val="000000"/>
          <w:sz w:val="24"/>
          <w:szCs w:val="24"/>
        </w:rPr>
        <w:t xml:space="preserve"> штук на 100 чел. относительно 201</w:t>
      </w:r>
      <w:r w:rsidR="0005237A" w:rsidRPr="0005237A">
        <w:rPr>
          <w:rFonts w:ascii="Times New Roman" w:hAnsi="Times New Roman" w:cs="Times New Roman"/>
          <w:color w:val="000000"/>
          <w:sz w:val="24"/>
          <w:szCs w:val="24"/>
        </w:rPr>
        <w:t>6</w:t>
      </w:r>
      <w:r w:rsidRPr="0005237A">
        <w:rPr>
          <w:rFonts w:ascii="Times New Roman" w:hAnsi="Times New Roman" w:cs="Times New Roman"/>
          <w:color w:val="000000"/>
          <w:sz w:val="24"/>
          <w:szCs w:val="24"/>
        </w:rPr>
        <w:t xml:space="preserve"> года, что обусловлено повсеместным распространением мобильной связи </w:t>
      </w:r>
      <w:r w:rsidRPr="0005237A">
        <w:rPr>
          <w:rFonts w:ascii="Times New Roman" w:hAnsi="Times New Roman" w:cs="Times New Roman"/>
          <w:sz w:val="24"/>
          <w:szCs w:val="24"/>
        </w:rPr>
        <w:t>(благодаря ее мобильности, количеству тарифных планов, предлагаемых услуг-опций, экономии затрат на связь)</w:t>
      </w:r>
      <w:r w:rsidRPr="0005237A">
        <w:rPr>
          <w:rFonts w:ascii="Times New Roman" w:hAnsi="Times New Roman" w:cs="Times New Roman"/>
          <w:color w:val="000000"/>
          <w:sz w:val="24"/>
          <w:szCs w:val="24"/>
        </w:rPr>
        <w:t xml:space="preserve">, а также </w:t>
      </w:r>
      <w:r w:rsidRPr="0005237A">
        <w:rPr>
          <w:rFonts w:ascii="Times New Roman" w:hAnsi="Times New Roman" w:cs="Times New Roman"/>
          <w:color w:val="000000"/>
          <w:sz w:val="24"/>
          <w:szCs w:val="24"/>
          <w:lang w:val="en-US"/>
        </w:rPr>
        <w:t>IP</w:t>
      </w:r>
      <w:r w:rsidRPr="0005237A">
        <w:rPr>
          <w:rFonts w:ascii="Times New Roman" w:hAnsi="Times New Roman" w:cs="Times New Roman"/>
          <w:color w:val="000000"/>
          <w:sz w:val="24"/>
          <w:szCs w:val="24"/>
        </w:rPr>
        <w:t>-телефонии.</w:t>
      </w:r>
    </w:p>
    <w:p w:rsidR="00A50BA4" w:rsidRDefault="00A50BA4" w:rsidP="00036307">
      <w:pPr>
        <w:ind w:firstLine="709"/>
        <w:jc w:val="center"/>
        <w:rPr>
          <w:sz w:val="24"/>
          <w:szCs w:val="24"/>
          <w:highlight w:val="yellow"/>
        </w:rPr>
      </w:pPr>
    </w:p>
    <w:p w:rsidR="00A50BA4" w:rsidRPr="0005237A" w:rsidRDefault="00A50BA4" w:rsidP="00036307">
      <w:pPr>
        <w:ind w:firstLine="709"/>
        <w:jc w:val="center"/>
        <w:rPr>
          <w:sz w:val="24"/>
          <w:szCs w:val="24"/>
        </w:rPr>
      </w:pPr>
      <w:r w:rsidRPr="0005237A">
        <w:rPr>
          <w:sz w:val="24"/>
          <w:szCs w:val="24"/>
        </w:rPr>
        <w:t>Ожидаемое выполнение прогнозных показателей по разделу «Связь» на 201</w:t>
      </w:r>
      <w:r w:rsidR="0005237A" w:rsidRPr="0005237A">
        <w:rPr>
          <w:sz w:val="24"/>
          <w:szCs w:val="24"/>
        </w:rPr>
        <w:t>7</w:t>
      </w:r>
      <w:r w:rsidRPr="0005237A">
        <w:rPr>
          <w:sz w:val="24"/>
          <w:szCs w:val="24"/>
        </w:rPr>
        <w:t xml:space="preserve"> год</w:t>
      </w:r>
    </w:p>
    <w:p w:rsidR="00A50BA4" w:rsidRPr="0005237A" w:rsidRDefault="00A50BA4" w:rsidP="00036307">
      <w:pPr>
        <w:ind w:firstLine="709"/>
        <w:jc w:val="center"/>
        <w:rPr>
          <w:sz w:val="24"/>
          <w:szCs w:val="24"/>
        </w:rPr>
      </w:pPr>
    </w:p>
    <w:tbl>
      <w:tblPr>
        <w:tblW w:w="5000" w:type="pct"/>
        <w:tblLook w:val="0000" w:firstRow="0" w:lastRow="0" w:firstColumn="0" w:lastColumn="0" w:noHBand="0" w:noVBand="0"/>
      </w:tblPr>
      <w:tblGrid>
        <w:gridCol w:w="4644"/>
        <w:gridCol w:w="993"/>
        <w:gridCol w:w="1275"/>
        <w:gridCol w:w="1418"/>
        <w:gridCol w:w="1240"/>
      </w:tblGrid>
      <w:tr w:rsidR="00A50BA4" w:rsidRPr="0005237A" w:rsidTr="00CC71EF">
        <w:trPr>
          <w:trHeight w:val="465"/>
        </w:trPr>
        <w:tc>
          <w:tcPr>
            <w:tcW w:w="2426" w:type="pct"/>
            <w:vMerge w:val="restart"/>
            <w:tcBorders>
              <w:top w:val="single" w:sz="4" w:space="0" w:color="000000"/>
              <w:left w:val="single" w:sz="4" w:space="0" w:color="000000"/>
              <w:bottom w:val="single" w:sz="4" w:space="0" w:color="000000"/>
            </w:tcBorders>
          </w:tcPr>
          <w:p w:rsidR="00A50BA4" w:rsidRPr="0005237A" w:rsidRDefault="00A50BA4" w:rsidP="00CC71EF">
            <w:pPr>
              <w:jc w:val="center"/>
              <w:rPr>
                <w:sz w:val="24"/>
                <w:szCs w:val="24"/>
              </w:rPr>
            </w:pPr>
            <w:r w:rsidRPr="0005237A">
              <w:rPr>
                <w:sz w:val="24"/>
                <w:szCs w:val="24"/>
              </w:rPr>
              <w:t>Показатели</w:t>
            </w:r>
          </w:p>
        </w:tc>
        <w:tc>
          <w:tcPr>
            <w:tcW w:w="519" w:type="pct"/>
            <w:vMerge w:val="restart"/>
            <w:tcBorders>
              <w:top w:val="single" w:sz="4" w:space="0" w:color="000000"/>
              <w:left w:val="single" w:sz="4" w:space="0" w:color="000000"/>
              <w:right w:val="single" w:sz="4" w:space="0" w:color="000000"/>
            </w:tcBorders>
          </w:tcPr>
          <w:p w:rsidR="00A50BA4" w:rsidRPr="0005237A" w:rsidRDefault="00A50BA4" w:rsidP="00CC71EF">
            <w:pPr>
              <w:jc w:val="center"/>
              <w:rPr>
                <w:sz w:val="24"/>
                <w:szCs w:val="24"/>
              </w:rPr>
            </w:pPr>
            <w:r w:rsidRPr="0005237A">
              <w:rPr>
                <w:sz w:val="24"/>
                <w:szCs w:val="24"/>
              </w:rPr>
              <w:t>Ед. изм.</w:t>
            </w:r>
          </w:p>
        </w:tc>
        <w:tc>
          <w:tcPr>
            <w:tcW w:w="1407" w:type="pct"/>
            <w:gridSpan w:val="2"/>
            <w:tcBorders>
              <w:top w:val="single" w:sz="4" w:space="0" w:color="000000"/>
              <w:left w:val="single" w:sz="4" w:space="0" w:color="000000"/>
              <w:bottom w:val="single" w:sz="4" w:space="0" w:color="000000"/>
            </w:tcBorders>
          </w:tcPr>
          <w:p w:rsidR="00A50BA4" w:rsidRPr="0005237A" w:rsidRDefault="00A50BA4" w:rsidP="0005237A">
            <w:pPr>
              <w:jc w:val="center"/>
              <w:rPr>
                <w:sz w:val="24"/>
                <w:szCs w:val="24"/>
              </w:rPr>
            </w:pPr>
            <w:r w:rsidRPr="0005237A">
              <w:rPr>
                <w:sz w:val="24"/>
                <w:szCs w:val="24"/>
              </w:rPr>
              <w:t>Прогноз на 201</w:t>
            </w:r>
            <w:r w:rsidR="0005237A" w:rsidRPr="0005237A">
              <w:rPr>
                <w:sz w:val="24"/>
                <w:szCs w:val="24"/>
              </w:rPr>
              <w:t>7</w:t>
            </w:r>
            <w:r w:rsidRPr="0005237A">
              <w:rPr>
                <w:sz w:val="24"/>
                <w:szCs w:val="24"/>
              </w:rPr>
              <w:t xml:space="preserve"> год</w:t>
            </w:r>
          </w:p>
        </w:tc>
        <w:tc>
          <w:tcPr>
            <w:tcW w:w="648" w:type="pct"/>
            <w:vMerge w:val="restart"/>
            <w:tcBorders>
              <w:top w:val="single" w:sz="4" w:space="0" w:color="000000"/>
              <w:left w:val="single" w:sz="4" w:space="0" w:color="000000"/>
              <w:bottom w:val="single" w:sz="4" w:space="0" w:color="000000"/>
              <w:right w:val="single" w:sz="4" w:space="0" w:color="000000"/>
            </w:tcBorders>
          </w:tcPr>
          <w:p w:rsidR="00A50BA4" w:rsidRPr="0005237A" w:rsidRDefault="00A50BA4" w:rsidP="0005237A">
            <w:pPr>
              <w:jc w:val="center"/>
              <w:rPr>
                <w:sz w:val="24"/>
                <w:szCs w:val="24"/>
              </w:rPr>
            </w:pPr>
            <w:r w:rsidRPr="0005237A">
              <w:rPr>
                <w:sz w:val="24"/>
                <w:szCs w:val="24"/>
              </w:rPr>
              <w:t>201</w:t>
            </w:r>
            <w:r w:rsidR="0005237A" w:rsidRPr="0005237A">
              <w:rPr>
                <w:sz w:val="24"/>
                <w:szCs w:val="24"/>
              </w:rPr>
              <w:t>7</w:t>
            </w:r>
            <w:r w:rsidRPr="0005237A">
              <w:rPr>
                <w:sz w:val="24"/>
                <w:szCs w:val="24"/>
              </w:rPr>
              <w:t xml:space="preserve"> год (оценка)</w:t>
            </w:r>
          </w:p>
        </w:tc>
      </w:tr>
      <w:tr w:rsidR="00A50BA4" w:rsidRPr="0005237A" w:rsidTr="00CC71EF">
        <w:tc>
          <w:tcPr>
            <w:tcW w:w="2426" w:type="pct"/>
            <w:vMerge/>
            <w:tcBorders>
              <w:top w:val="single" w:sz="4" w:space="0" w:color="000000"/>
              <w:left w:val="single" w:sz="4" w:space="0" w:color="000000"/>
              <w:bottom w:val="single" w:sz="4" w:space="0" w:color="000000"/>
            </w:tcBorders>
          </w:tcPr>
          <w:p w:rsidR="00A50BA4" w:rsidRPr="0005237A" w:rsidRDefault="00A50BA4" w:rsidP="00CC71EF">
            <w:pPr>
              <w:snapToGrid w:val="0"/>
              <w:rPr>
                <w:b/>
                <w:sz w:val="24"/>
                <w:szCs w:val="24"/>
              </w:rPr>
            </w:pPr>
          </w:p>
        </w:tc>
        <w:tc>
          <w:tcPr>
            <w:tcW w:w="519" w:type="pct"/>
            <w:vMerge/>
            <w:tcBorders>
              <w:left w:val="single" w:sz="4" w:space="0" w:color="000000"/>
              <w:bottom w:val="single" w:sz="4" w:space="0" w:color="000000"/>
              <w:right w:val="single" w:sz="4" w:space="0" w:color="000000"/>
            </w:tcBorders>
          </w:tcPr>
          <w:p w:rsidR="00A50BA4" w:rsidRPr="0005237A" w:rsidRDefault="00A50BA4" w:rsidP="00CC71EF">
            <w:pPr>
              <w:jc w:val="center"/>
              <w:rPr>
                <w:sz w:val="24"/>
                <w:szCs w:val="24"/>
              </w:rPr>
            </w:pPr>
          </w:p>
        </w:tc>
        <w:tc>
          <w:tcPr>
            <w:tcW w:w="666" w:type="pct"/>
            <w:tcBorders>
              <w:top w:val="single" w:sz="4" w:space="0" w:color="000000"/>
              <w:left w:val="single" w:sz="4" w:space="0" w:color="000000"/>
              <w:bottom w:val="single" w:sz="4" w:space="0" w:color="000000"/>
            </w:tcBorders>
          </w:tcPr>
          <w:p w:rsidR="00A50BA4" w:rsidRPr="0005237A" w:rsidRDefault="00A50BA4" w:rsidP="00CC71EF">
            <w:pPr>
              <w:jc w:val="center"/>
              <w:rPr>
                <w:sz w:val="24"/>
                <w:szCs w:val="24"/>
              </w:rPr>
            </w:pPr>
            <w:r w:rsidRPr="0005237A">
              <w:rPr>
                <w:sz w:val="24"/>
                <w:szCs w:val="24"/>
              </w:rPr>
              <w:t>1 вариант</w:t>
            </w:r>
          </w:p>
        </w:tc>
        <w:tc>
          <w:tcPr>
            <w:tcW w:w="741" w:type="pct"/>
            <w:tcBorders>
              <w:top w:val="single" w:sz="4" w:space="0" w:color="000000"/>
              <w:left w:val="single" w:sz="4" w:space="0" w:color="000000"/>
              <w:bottom w:val="single" w:sz="4" w:space="0" w:color="000000"/>
            </w:tcBorders>
          </w:tcPr>
          <w:p w:rsidR="00A50BA4" w:rsidRPr="0005237A" w:rsidRDefault="00A50BA4" w:rsidP="00CC71EF">
            <w:pPr>
              <w:jc w:val="center"/>
              <w:rPr>
                <w:b/>
                <w:sz w:val="24"/>
                <w:szCs w:val="24"/>
              </w:rPr>
            </w:pPr>
            <w:r w:rsidRPr="0005237A">
              <w:rPr>
                <w:sz w:val="24"/>
                <w:szCs w:val="24"/>
              </w:rPr>
              <w:t>2 вариант</w:t>
            </w:r>
          </w:p>
        </w:tc>
        <w:tc>
          <w:tcPr>
            <w:tcW w:w="648" w:type="pct"/>
            <w:vMerge/>
            <w:tcBorders>
              <w:top w:val="single" w:sz="4" w:space="0" w:color="000000"/>
              <w:left w:val="single" w:sz="4" w:space="0" w:color="000000"/>
              <w:bottom w:val="single" w:sz="4" w:space="0" w:color="000000"/>
              <w:right w:val="single" w:sz="4" w:space="0" w:color="000000"/>
            </w:tcBorders>
          </w:tcPr>
          <w:p w:rsidR="00A50BA4" w:rsidRPr="0005237A" w:rsidRDefault="00A50BA4" w:rsidP="00CC71EF">
            <w:pPr>
              <w:snapToGrid w:val="0"/>
              <w:rPr>
                <w:b/>
                <w:sz w:val="24"/>
                <w:szCs w:val="24"/>
              </w:rPr>
            </w:pPr>
          </w:p>
        </w:tc>
      </w:tr>
      <w:tr w:rsidR="00A50BA4" w:rsidRPr="0005237A" w:rsidTr="00CF1CBC">
        <w:trPr>
          <w:trHeight w:val="397"/>
        </w:trPr>
        <w:tc>
          <w:tcPr>
            <w:tcW w:w="2426" w:type="pct"/>
            <w:tcBorders>
              <w:top w:val="single" w:sz="4" w:space="0" w:color="000000"/>
              <w:left w:val="single" w:sz="4" w:space="0" w:color="000000"/>
              <w:bottom w:val="single" w:sz="4" w:space="0" w:color="000000"/>
            </w:tcBorders>
          </w:tcPr>
          <w:p w:rsidR="00A50BA4" w:rsidRPr="0005237A" w:rsidRDefault="00A50BA4" w:rsidP="00CF1CBC">
            <w:pPr>
              <w:rPr>
                <w:sz w:val="24"/>
                <w:szCs w:val="24"/>
              </w:rPr>
            </w:pPr>
            <w:r w:rsidRPr="0005237A">
              <w:rPr>
                <w:sz w:val="24"/>
                <w:szCs w:val="24"/>
              </w:rPr>
              <w:t>Обеспеченность населения квартирными телефонными аппаратами сети общего пользования или имеющими выход на нее</w:t>
            </w:r>
          </w:p>
        </w:tc>
        <w:tc>
          <w:tcPr>
            <w:tcW w:w="519" w:type="pct"/>
            <w:tcBorders>
              <w:top w:val="single" w:sz="4" w:space="0" w:color="000000"/>
              <w:left w:val="single" w:sz="4" w:space="0" w:color="000000"/>
              <w:bottom w:val="single" w:sz="4" w:space="0" w:color="000000"/>
              <w:right w:val="single" w:sz="4" w:space="0" w:color="000000"/>
            </w:tcBorders>
          </w:tcPr>
          <w:p w:rsidR="00A50BA4" w:rsidRPr="0005237A" w:rsidRDefault="00A50BA4" w:rsidP="00CF1CBC">
            <w:pPr>
              <w:jc w:val="center"/>
              <w:rPr>
                <w:sz w:val="24"/>
                <w:szCs w:val="24"/>
              </w:rPr>
            </w:pPr>
            <w:r w:rsidRPr="0005237A">
              <w:rPr>
                <w:sz w:val="24"/>
                <w:szCs w:val="24"/>
              </w:rPr>
              <w:t>штук на 100 чел.</w:t>
            </w:r>
          </w:p>
        </w:tc>
        <w:tc>
          <w:tcPr>
            <w:tcW w:w="666" w:type="pct"/>
            <w:tcBorders>
              <w:top w:val="single" w:sz="4" w:space="0" w:color="000000"/>
              <w:left w:val="single" w:sz="4" w:space="0" w:color="000000"/>
              <w:bottom w:val="single" w:sz="4" w:space="0" w:color="000000"/>
            </w:tcBorders>
            <w:vAlign w:val="center"/>
          </w:tcPr>
          <w:p w:rsidR="00A50BA4" w:rsidRPr="0005237A" w:rsidRDefault="0005237A" w:rsidP="00CF1CBC">
            <w:pPr>
              <w:jc w:val="center"/>
              <w:rPr>
                <w:sz w:val="24"/>
                <w:szCs w:val="24"/>
              </w:rPr>
            </w:pPr>
            <w:r w:rsidRPr="0005237A">
              <w:rPr>
                <w:sz w:val="24"/>
                <w:szCs w:val="24"/>
              </w:rPr>
              <w:t>18,7</w:t>
            </w:r>
          </w:p>
        </w:tc>
        <w:tc>
          <w:tcPr>
            <w:tcW w:w="741" w:type="pct"/>
            <w:tcBorders>
              <w:top w:val="single" w:sz="4" w:space="0" w:color="000000"/>
              <w:left w:val="single" w:sz="4" w:space="0" w:color="000000"/>
              <w:bottom w:val="single" w:sz="4" w:space="0" w:color="000000"/>
            </w:tcBorders>
            <w:vAlign w:val="center"/>
          </w:tcPr>
          <w:p w:rsidR="00A50BA4" w:rsidRPr="0005237A" w:rsidRDefault="0005237A" w:rsidP="00CF1CBC">
            <w:pPr>
              <w:jc w:val="center"/>
              <w:rPr>
                <w:sz w:val="24"/>
                <w:szCs w:val="24"/>
              </w:rPr>
            </w:pPr>
            <w:r w:rsidRPr="0005237A">
              <w:rPr>
                <w:sz w:val="24"/>
                <w:szCs w:val="24"/>
              </w:rPr>
              <w:t>19,2</w:t>
            </w:r>
          </w:p>
        </w:tc>
        <w:tc>
          <w:tcPr>
            <w:tcW w:w="648" w:type="pct"/>
            <w:tcBorders>
              <w:top w:val="single" w:sz="4" w:space="0" w:color="000000"/>
              <w:left w:val="single" w:sz="4" w:space="0" w:color="000000"/>
              <w:bottom w:val="single" w:sz="4" w:space="0" w:color="000000"/>
              <w:right w:val="single" w:sz="4" w:space="0" w:color="000000"/>
            </w:tcBorders>
            <w:vAlign w:val="center"/>
          </w:tcPr>
          <w:p w:rsidR="00A50BA4" w:rsidRPr="0005237A" w:rsidRDefault="0005237A" w:rsidP="00CF1CBC">
            <w:pPr>
              <w:jc w:val="center"/>
              <w:rPr>
                <w:sz w:val="24"/>
                <w:szCs w:val="24"/>
              </w:rPr>
            </w:pPr>
            <w:r w:rsidRPr="0005237A">
              <w:rPr>
                <w:sz w:val="24"/>
                <w:szCs w:val="24"/>
              </w:rPr>
              <w:t>16,6</w:t>
            </w:r>
          </w:p>
        </w:tc>
      </w:tr>
    </w:tbl>
    <w:p w:rsidR="00A50BA4" w:rsidRPr="0005237A" w:rsidRDefault="00A50BA4" w:rsidP="00A423B6">
      <w:pPr>
        <w:pStyle w:val="112"/>
        <w:spacing w:line="276" w:lineRule="auto"/>
        <w:ind w:firstLine="709"/>
        <w:rPr>
          <w:rFonts w:ascii="Times New Roman" w:hAnsi="Times New Roman" w:cs="Times New Roman"/>
          <w:sz w:val="24"/>
          <w:szCs w:val="24"/>
        </w:rPr>
      </w:pPr>
      <w:r w:rsidRPr="0005237A">
        <w:rPr>
          <w:rFonts w:ascii="Times New Roman" w:hAnsi="Times New Roman" w:cs="Times New Roman"/>
          <w:sz w:val="24"/>
          <w:szCs w:val="24"/>
        </w:rPr>
        <w:t>Снижение оценочного значения обеспеченности населения квартирными телефонными аппаратами сети общего пользования или имеющими выход на нее обусловлено более глубоким падением фактических темпов роста показателя по установке квартирных телефонных аппаратов, чем ожидалось ранее.</w:t>
      </w:r>
    </w:p>
    <w:p w:rsidR="00A50BA4" w:rsidRDefault="00A50BA4" w:rsidP="00B97814">
      <w:pPr>
        <w:pStyle w:val="112"/>
        <w:spacing w:line="276" w:lineRule="auto"/>
        <w:ind w:firstLine="0"/>
        <w:jc w:val="center"/>
        <w:rPr>
          <w:rFonts w:ascii="Times New Roman" w:hAnsi="Times New Roman" w:cs="Times New Roman"/>
          <w:b/>
          <w:sz w:val="24"/>
          <w:szCs w:val="24"/>
          <w:highlight w:val="yellow"/>
        </w:rPr>
      </w:pPr>
    </w:p>
    <w:p w:rsidR="00A50BA4" w:rsidRPr="001D6AFD" w:rsidRDefault="00A50BA4" w:rsidP="00B97814">
      <w:pPr>
        <w:pStyle w:val="112"/>
        <w:spacing w:line="276" w:lineRule="auto"/>
        <w:ind w:firstLine="0"/>
        <w:jc w:val="center"/>
        <w:rPr>
          <w:rFonts w:ascii="Times New Roman" w:hAnsi="Times New Roman" w:cs="Times New Roman"/>
          <w:b/>
          <w:sz w:val="24"/>
          <w:szCs w:val="24"/>
        </w:rPr>
      </w:pPr>
      <w:r w:rsidRPr="001D6AFD">
        <w:rPr>
          <w:rFonts w:ascii="Times New Roman" w:hAnsi="Times New Roman" w:cs="Times New Roman"/>
          <w:b/>
          <w:sz w:val="24"/>
          <w:szCs w:val="24"/>
        </w:rPr>
        <w:t>Образование</w:t>
      </w:r>
    </w:p>
    <w:p w:rsidR="00A50BA4" w:rsidRPr="005A34F1" w:rsidRDefault="00A50BA4" w:rsidP="00B97814">
      <w:pPr>
        <w:pStyle w:val="112"/>
        <w:spacing w:line="276" w:lineRule="auto"/>
        <w:ind w:firstLine="709"/>
        <w:jc w:val="center"/>
        <w:rPr>
          <w:rFonts w:ascii="Times New Roman" w:hAnsi="Times New Roman" w:cs="Times New Roman"/>
          <w:sz w:val="24"/>
          <w:szCs w:val="24"/>
          <w:highlight w:val="yellow"/>
        </w:rPr>
      </w:pPr>
    </w:p>
    <w:p w:rsidR="001D6AFD" w:rsidRDefault="001D6AFD" w:rsidP="001D6AFD">
      <w:pPr>
        <w:pStyle w:val="aff1"/>
        <w:spacing w:line="276" w:lineRule="auto"/>
        <w:rPr>
          <w:sz w:val="24"/>
          <w:szCs w:val="24"/>
        </w:rPr>
      </w:pPr>
      <w:r w:rsidRPr="00334BB9">
        <w:rPr>
          <w:sz w:val="24"/>
          <w:szCs w:val="24"/>
        </w:rPr>
        <w:t xml:space="preserve">В городской системе образования </w:t>
      </w:r>
      <w:r>
        <w:rPr>
          <w:sz w:val="24"/>
          <w:szCs w:val="24"/>
        </w:rPr>
        <w:t xml:space="preserve">функционируют: </w:t>
      </w:r>
    </w:p>
    <w:p w:rsidR="000E5757" w:rsidRDefault="001D6AFD" w:rsidP="001D6AFD">
      <w:pPr>
        <w:pStyle w:val="aff1"/>
        <w:spacing w:line="276" w:lineRule="auto"/>
        <w:rPr>
          <w:sz w:val="24"/>
          <w:szCs w:val="24"/>
        </w:rPr>
      </w:pPr>
      <w:r>
        <w:rPr>
          <w:sz w:val="24"/>
          <w:szCs w:val="24"/>
        </w:rPr>
        <w:t xml:space="preserve">- </w:t>
      </w:r>
      <w:r w:rsidR="00B347E3">
        <w:rPr>
          <w:sz w:val="24"/>
          <w:szCs w:val="24"/>
        </w:rPr>
        <w:t>В</w:t>
      </w:r>
      <w:r>
        <w:rPr>
          <w:sz w:val="24"/>
          <w:szCs w:val="24"/>
        </w:rPr>
        <w:t xml:space="preserve"> системе дошкольного образования:</w:t>
      </w:r>
      <w:r w:rsidRPr="008D02D6">
        <w:rPr>
          <w:sz w:val="24"/>
          <w:szCs w:val="24"/>
        </w:rPr>
        <w:t xml:space="preserve"> </w:t>
      </w:r>
      <w:r>
        <w:rPr>
          <w:sz w:val="24"/>
          <w:szCs w:val="24"/>
        </w:rPr>
        <w:t xml:space="preserve">51 </w:t>
      </w:r>
      <w:r w:rsidR="00214E7B">
        <w:rPr>
          <w:sz w:val="24"/>
          <w:szCs w:val="24"/>
        </w:rPr>
        <w:t xml:space="preserve">муниципальное </w:t>
      </w:r>
      <w:r>
        <w:rPr>
          <w:sz w:val="24"/>
          <w:szCs w:val="24"/>
        </w:rPr>
        <w:t>дошкольное образовательное учреждение (ДОУ).</w:t>
      </w:r>
      <w:r w:rsidRPr="00334BB9">
        <w:rPr>
          <w:sz w:val="24"/>
          <w:szCs w:val="24"/>
        </w:rPr>
        <w:t xml:space="preserve"> </w:t>
      </w:r>
    </w:p>
    <w:p w:rsidR="001D6AFD" w:rsidRDefault="001D6AFD" w:rsidP="001D6AFD">
      <w:pPr>
        <w:pStyle w:val="aff1"/>
        <w:spacing w:line="276" w:lineRule="auto"/>
        <w:rPr>
          <w:sz w:val="24"/>
          <w:szCs w:val="24"/>
        </w:rPr>
      </w:pPr>
      <w:r>
        <w:rPr>
          <w:sz w:val="24"/>
          <w:szCs w:val="24"/>
        </w:rPr>
        <w:t>Кроме того, работают 8 образовательных организаций и учреждений</w:t>
      </w:r>
      <w:r w:rsidR="000E5757">
        <w:rPr>
          <w:sz w:val="24"/>
          <w:szCs w:val="24"/>
        </w:rPr>
        <w:t xml:space="preserve">, </w:t>
      </w:r>
      <w:r>
        <w:rPr>
          <w:sz w:val="24"/>
          <w:szCs w:val="24"/>
        </w:rPr>
        <w:t>реализующих образовательные программы дошкольного образования</w:t>
      </w:r>
      <w:r w:rsidR="000E5757">
        <w:rPr>
          <w:sz w:val="24"/>
          <w:szCs w:val="24"/>
        </w:rPr>
        <w:t xml:space="preserve"> (1 автономная некоммерческая организация дошкольного образования «Планета детства «Лада», в составе которой работают 50 структурных подразделений – детских садов</w:t>
      </w:r>
      <w:r w:rsidR="00FD4384">
        <w:rPr>
          <w:sz w:val="24"/>
          <w:szCs w:val="24"/>
        </w:rPr>
        <w:t>;</w:t>
      </w:r>
      <w:r w:rsidR="000E5757">
        <w:rPr>
          <w:sz w:val="24"/>
          <w:szCs w:val="24"/>
        </w:rPr>
        <w:t xml:space="preserve"> 1 автономная некоммерческая образовательная организация «Ступени»</w:t>
      </w:r>
      <w:r w:rsidR="00FD4384">
        <w:rPr>
          <w:sz w:val="24"/>
          <w:szCs w:val="24"/>
        </w:rPr>
        <w:t>;</w:t>
      </w:r>
      <w:r w:rsidR="000E5757">
        <w:rPr>
          <w:sz w:val="24"/>
          <w:szCs w:val="24"/>
        </w:rPr>
        <w:t xml:space="preserve"> 5 частных образовательных учреждений, имеющих в своей структуре гр</w:t>
      </w:r>
      <w:r w:rsidR="00FD4384">
        <w:rPr>
          <w:sz w:val="24"/>
          <w:szCs w:val="24"/>
        </w:rPr>
        <w:t>уппы детей дошкольного возраста;</w:t>
      </w:r>
      <w:r w:rsidR="000E5757">
        <w:rPr>
          <w:sz w:val="24"/>
          <w:szCs w:val="24"/>
        </w:rPr>
        <w:t xml:space="preserve"> 1 структурное подразделение государственного образовательного учреждения – Центр дошкольного образования)</w:t>
      </w:r>
      <w:r>
        <w:rPr>
          <w:sz w:val="24"/>
          <w:szCs w:val="24"/>
        </w:rPr>
        <w:t>, и 1 ведомст</w:t>
      </w:r>
      <w:r w:rsidR="00B347E3">
        <w:rPr>
          <w:sz w:val="24"/>
          <w:szCs w:val="24"/>
        </w:rPr>
        <w:t>венный детский сад.</w:t>
      </w:r>
    </w:p>
    <w:p w:rsidR="001D6AFD" w:rsidRDefault="001D6AFD" w:rsidP="001D6AFD">
      <w:pPr>
        <w:pStyle w:val="aff1"/>
        <w:spacing w:line="276" w:lineRule="auto"/>
        <w:rPr>
          <w:sz w:val="24"/>
          <w:szCs w:val="24"/>
        </w:rPr>
      </w:pPr>
      <w:r w:rsidRPr="00334BB9">
        <w:rPr>
          <w:sz w:val="24"/>
          <w:szCs w:val="24"/>
        </w:rPr>
        <w:t xml:space="preserve">Услугами дошкольного образования в </w:t>
      </w:r>
      <w:r>
        <w:rPr>
          <w:sz w:val="24"/>
          <w:szCs w:val="24"/>
        </w:rPr>
        <w:t>настоящее время</w:t>
      </w:r>
      <w:r w:rsidRPr="00334BB9">
        <w:rPr>
          <w:sz w:val="24"/>
          <w:szCs w:val="24"/>
        </w:rPr>
        <w:t xml:space="preserve"> охвачено 40</w:t>
      </w:r>
      <w:r>
        <w:rPr>
          <w:sz w:val="24"/>
          <w:szCs w:val="24"/>
        </w:rPr>
        <w:t>,5</w:t>
      </w:r>
      <w:r w:rsidRPr="00334BB9">
        <w:rPr>
          <w:sz w:val="24"/>
          <w:szCs w:val="24"/>
        </w:rPr>
        <w:t xml:space="preserve"> </w:t>
      </w:r>
      <w:r>
        <w:rPr>
          <w:sz w:val="24"/>
          <w:szCs w:val="24"/>
        </w:rPr>
        <w:t>тыс.детей от 9 мес. до 7 лет</w:t>
      </w:r>
      <w:r w:rsidRPr="00334BB9">
        <w:rPr>
          <w:sz w:val="24"/>
          <w:szCs w:val="24"/>
        </w:rPr>
        <w:t xml:space="preserve">. </w:t>
      </w:r>
    </w:p>
    <w:p w:rsidR="001D6AFD" w:rsidRDefault="001D6AFD" w:rsidP="001D6AFD">
      <w:pPr>
        <w:pStyle w:val="aff1"/>
        <w:spacing w:line="276" w:lineRule="auto"/>
        <w:rPr>
          <w:sz w:val="24"/>
          <w:szCs w:val="24"/>
        </w:rPr>
      </w:pPr>
      <w:r w:rsidRPr="00AC7999">
        <w:rPr>
          <w:sz w:val="24"/>
          <w:szCs w:val="24"/>
        </w:rPr>
        <w:t>В соответствии  с планом комплектования детских садов на 2017-2018 учебный год в  детские сады направлено более 9 тыс. детей из очереди</w:t>
      </w:r>
      <w:r w:rsidR="0005613F">
        <w:rPr>
          <w:sz w:val="24"/>
          <w:szCs w:val="24"/>
        </w:rPr>
        <w:t xml:space="preserve"> (потребность в местах </w:t>
      </w:r>
      <w:r w:rsidR="004B1810">
        <w:rPr>
          <w:sz w:val="24"/>
          <w:szCs w:val="24"/>
        </w:rPr>
        <w:t>в</w:t>
      </w:r>
      <w:r w:rsidR="0005613F">
        <w:rPr>
          <w:sz w:val="24"/>
          <w:szCs w:val="24"/>
        </w:rPr>
        <w:t xml:space="preserve"> детских садах на 2017-2018 учебный год составила 11,2 тыс. детей в возрасте от 9 мес.до 7 лет)</w:t>
      </w:r>
      <w:r w:rsidRPr="00AC7999">
        <w:rPr>
          <w:sz w:val="24"/>
          <w:szCs w:val="24"/>
        </w:rPr>
        <w:t xml:space="preserve">. </w:t>
      </w:r>
    </w:p>
    <w:p w:rsidR="001D6AFD" w:rsidRDefault="001D6AFD" w:rsidP="001D6AFD">
      <w:pPr>
        <w:tabs>
          <w:tab w:val="left" w:pos="993"/>
        </w:tabs>
        <w:overflowPunct w:val="0"/>
        <w:autoSpaceDE w:val="0"/>
        <w:snapToGrid w:val="0"/>
        <w:spacing w:line="276" w:lineRule="auto"/>
        <w:ind w:firstLine="709"/>
        <w:jc w:val="both"/>
        <w:textAlignment w:val="baseline"/>
        <w:rPr>
          <w:sz w:val="24"/>
          <w:szCs w:val="24"/>
        </w:rPr>
      </w:pPr>
      <w:r w:rsidRPr="00AC7999">
        <w:rPr>
          <w:sz w:val="24"/>
          <w:szCs w:val="24"/>
        </w:rPr>
        <w:t>В 2017 году имеется достаточное количество мест для обеспечения 100% доступности дошкольного образования детей в возрасте старше 3-х лет, однако, без гарантии предоставления места  в конкретном</w:t>
      </w:r>
      <w:r>
        <w:rPr>
          <w:sz w:val="24"/>
          <w:szCs w:val="24"/>
        </w:rPr>
        <w:t xml:space="preserve"> детском саду. Обеспеченность дошкольными образовательными учреждениями (для детей в возрасте 3-6 лет) в 2017 году составит  972 на 1000 детей данного возраста.</w:t>
      </w:r>
    </w:p>
    <w:p w:rsidR="001D6AFD" w:rsidRDefault="001D6AFD" w:rsidP="004B1810">
      <w:pPr>
        <w:pStyle w:val="aff1"/>
        <w:spacing w:line="276" w:lineRule="auto"/>
        <w:rPr>
          <w:sz w:val="24"/>
          <w:szCs w:val="24"/>
        </w:rPr>
      </w:pPr>
      <w:r>
        <w:rPr>
          <w:sz w:val="24"/>
          <w:szCs w:val="24"/>
        </w:rPr>
        <w:t>Актуальной оста</w:t>
      </w:r>
      <w:r w:rsidRPr="00AC7999">
        <w:rPr>
          <w:sz w:val="24"/>
          <w:szCs w:val="24"/>
        </w:rPr>
        <w:t>ется проблема обеспечения местами в детских садах детей в возрасте до 3-х лет.</w:t>
      </w:r>
    </w:p>
    <w:p w:rsidR="0087160F" w:rsidRPr="00BA47E8" w:rsidRDefault="00357298" w:rsidP="0087160F">
      <w:pPr>
        <w:tabs>
          <w:tab w:val="left" w:pos="993"/>
        </w:tabs>
        <w:spacing w:line="276" w:lineRule="auto"/>
        <w:ind w:firstLine="709"/>
        <w:jc w:val="both"/>
        <w:rPr>
          <w:b/>
          <w:sz w:val="24"/>
          <w:szCs w:val="24"/>
        </w:rPr>
      </w:pPr>
      <w:r>
        <w:rPr>
          <w:sz w:val="24"/>
          <w:szCs w:val="24"/>
        </w:rPr>
        <w:t>С целью ликвидации дефицита мест в дошкольных образовательных учреждениях и для повышения доступности дошкольного образования в период с 2012 по 2016 годы дополнительно открыто 185 групп, создано 5725 мест.</w:t>
      </w:r>
      <w:r w:rsidR="0087160F" w:rsidRPr="0087160F">
        <w:rPr>
          <w:sz w:val="24"/>
          <w:szCs w:val="24"/>
        </w:rPr>
        <w:t xml:space="preserve"> </w:t>
      </w:r>
      <w:r w:rsidR="0087160F">
        <w:rPr>
          <w:sz w:val="24"/>
          <w:szCs w:val="24"/>
        </w:rPr>
        <w:t>В настоящее время м</w:t>
      </w:r>
      <w:r w:rsidR="0087160F" w:rsidRPr="00EC23B2">
        <w:rPr>
          <w:sz w:val="24"/>
          <w:szCs w:val="24"/>
        </w:rPr>
        <w:t>ощности детских садов для создания дополнительных мест фактически исчерпаны.</w:t>
      </w:r>
    </w:p>
    <w:p w:rsidR="00B347E3" w:rsidRDefault="00B347E3" w:rsidP="00B347E3">
      <w:pPr>
        <w:pStyle w:val="aff1"/>
        <w:spacing w:line="276" w:lineRule="auto"/>
        <w:rPr>
          <w:sz w:val="24"/>
          <w:szCs w:val="24"/>
        </w:rPr>
      </w:pPr>
      <w:r>
        <w:rPr>
          <w:sz w:val="24"/>
          <w:szCs w:val="24"/>
        </w:rPr>
        <w:t>- В системе общего образования: 71 общеобразовательное учреждение (МБУ); 3 структурных подразделений «Вечерняя школа».</w:t>
      </w:r>
    </w:p>
    <w:p w:rsidR="004B1810" w:rsidRDefault="001D6AFD" w:rsidP="004B1810">
      <w:pPr>
        <w:pStyle w:val="aff1"/>
        <w:spacing w:line="276" w:lineRule="auto"/>
        <w:rPr>
          <w:sz w:val="24"/>
          <w:szCs w:val="24"/>
        </w:rPr>
      </w:pPr>
      <w:r w:rsidRPr="008A06C2">
        <w:rPr>
          <w:sz w:val="24"/>
          <w:szCs w:val="24"/>
        </w:rPr>
        <w:t>Количество учащихся в муниципальных</w:t>
      </w:r>
      <w:r>
        <w:rPr>
          <w:sz w:val="24"/>
          <w:szCs w:val="24"/>
        </w:rPr>
        <w:t xml:space="preserve"> бюджетных общеобразовательных </w:t>
      </w:r>
      <w:r w:rsidRPr="008A06C2">
        <w:rPr>
          <w:sz w:val="24"/>
          <w:szCs w:val="24"/>
        </w:rPr>
        <w:t xml:space="preserve">учреждениях </w:t>
      </w:r>
      <w:r w:rsidR="004B1810" w:rsidRPr="00A34716">
        <w:rPr>
          <w:sz w:val="24"/>
          <w:szCs w:val="24"/>
        </w:rPr>
        <w:t xml:space="preserve">на </w:t>
      </w:r>
      <w:r w:rsidR="00A34716" w:rsidRPr="00A34716">
        <w:rPr>
          <w:sz w:val="24"/>
          <w:szCs w:val="24"/>
        </w:rPr>
        <w:t>01</w:t>
      </w:r>
      <w:r w:rsidR="004B1810" w:rsidRPr="00A34716">
        <w:rPr>
          <w:sz w:val="24"/>
          <w:szCs w:val="24"/>
        </w:rPr>
        <w:t>.0</w:t>
      </w:r>
      <w:r w:rsidR="00A34716" w:rsidRPr="00A34716">
        <w:rPr>
          <w:sz w:val="24"/>
          <w:szCs w:val="24"/>
        </w:rPr>
        <w:t>9</w:t>
      </w:r>
      <w:r w:rsidR="004B1810" w:rsidRPr="00A34716">
        <w:rPr>
          <w:sz w:val="24"/>
          <w:szCs w:val="24"/>
        </w:rPr>
        <w:t xml:space="preserve">.2017 - </w:t>
      </w:r>
      <w:r w:rsidR="00A34716" w:rsidRPr="002B6471">
        <w:rPr>
          <w:sz w:val="24"/>
          <w:szCs w:val="24"/>
        </w:rPr>
        <w:t>70,8</w:t>
      </w:r>
      <w:r w:rsidR="004B1810" w:rsidRPr="00A34716">
        <w:rPr>
          <w:sz w:val="24"/>
          <w:szCs w:val="24"/>
        </w:rPr>
        <w:t xml:space="preserve"> </w:t>
      </w:r>
      <w:r w:rsidR="00CD480A">
        <w:rPr>
          <w:sz w:val="24"/>
          <w:szCs w:val="24"/>
        </w:rPr>
        <w:t>тыс.</w:t>
      </w:r>
      <w:r w:rsidR="004B1810" w:rsidRPr="00A34716">
        <w:rPr>
          <w:sz w:val="24"/>
          <w:szCs w:val="24"/>
        </w:rPr>
        <w:t>чел., что на 2,3 % больше по сравнению с аналогичным периодом 2016 года.</w:t>
      </w:r>
      <w:r w:rsidR="004B1810" w:rsidRPr="004B1810">
        <w:rPr>
          <w:sz w:val="24"/>
          <w:szCs w:val="24"/>
        </w:rPr>
        <w:t xml:space="preserve"> </w:t>
      </w:r>
    </w:p>
    <w:p w:rsidR="001D6AFD" w:rsidRDefault="00B347E3" w:rsidP="004B1810">
      <w:pPr>
        <w:spacing w:line="276" w:lineRule="auto"/>
        <w:ind w:firstLine="720"/>
        <w:jc w:val="both"/>
        <w:rPr>
          <w:sz w:val="24"/>
          <w:szCs w:val="24"/>
        </w:rPr>
      </w:pPr>
      <w:r>
        <w:rPr>
          <w:sz w:val="24"/>
          <w:szCs w:val="24"/>
        </w:rPr>
        <w:t xml:space="preserve">- </w:t>
      </w:r>
      <w:r w:rsidR="001D6AFD">
        <w:rPr>
          <w:sz w:val="24"/>
          <w:szCs w:val="24"/>
        </w:rPr>
        <w:t>В системе дополнительного образования</w:t>
      </w:r>
      <w:r w:rsidR="001C4394">
        <w:rPr>
          <w:sz w:val="24"/>
          <w:szCs w:val="24"/>
        </w:rPr>
        <w:t xml:space="preserve"> функционируют</w:t>
      </w:r>
      <w:r w:rsidR="001D6AFD">
        <w:rPr>
          <w:sz w:val="24"/>
          <w:szCs w:val="24"/>
        </w:rPr>
        <w:t xml:space="preserve"> 13 муниципальных бюджетных образовательных учреждений дополнительного образования (МБОУДО)</w:t>
      </w:r>
      <w:r w:rsidR="00CD480A">
        <w:rPr>
          <w:sz w:val="24"/>
          <w:szCs w:val="24"/>
        </w:rPr>
        <w:t>, находящихся в ведомственном подчинении департамента образования</w:t>
      </w:r>
      <w:r w:rsidR="001D6AFD">
        <w:rPr>
          <w:sz w:val="24"/>
          <w:szCs w:val="24"/>
        </w:rPr>
        <w:t>; 15 структурных подразделений дополнительного образования МБУ.</w:t>
      </w:r>
      <w:r w:rsidR="00A34716">
        <w:rPr>
          <w:sz w:val="24"/>
          <w:szCs w:val="24"/>
        </w:rPr>
        <w:t xml:space="preserve"> </w:t>
      </w:r>
      <w:r w:rsidR="001D6AFD" w:rsidRPr="00DC4092">
        <w:rPr>
          <w:sz w:val="24"/>
          <w:szCs w:val="24"/>
        </w:rPr>
        <w:t xml:space="preserve">Количество обучающихся </w:t>
      </w:r>
      <w:r w:rsidR="001D6AFD">
        <w:rPr>
          <w:sz w:val="24"/>
          <w:szCs w:val="24"/>
        </w:rPr>
        <w:t>в них на конец 2016 года</w:t>
      </w:r>
      <w:r w:rsidR="001D6AFD" w:rsidRPr="00DC4092">
        <w:rPr>
          <w:sz w:val="24"/>
          <w:szCs w:val="24"/>
        </w:rPr>
        <w:t xml:space="preserve"> составля</w:t>
      </w:r>
      <w:r w:rsidR="001D6AFD">
        <w:rPr>
          <w:sz w:val="24"/>
          <w:szCs w:val="24"/>
        </w:rPr>
        <w:t>ло</w:t>
      </w:r>
      <w:r w:rsidR="001D6AFD" w:rsidRPr="00DC4092">
        <w:rPr>
          <w:sz w:val="24"/>
          <w:szCs w:val="24"/>
        </w:rPr>
        <w:t xml:space="preserve"> 5</w:t>
      </w:r>
      <w:r w:rsidR="001D6AFD">
        <w:rPr>
          <w:sz w:val="24"/>
          <w:szCs w:val="24"/>
        </w:rPr>
        <w:t>8,3</w:t>
      </w:r>
      <w:r w:rsidR="001D6AFD" w:rsidRPr="00DC4092">
        <w:rPr>
          <w:sz w:val="24"/>
          <w:szCs w:val="24"/>
        </w:rPr>
        <w:t xml:space="preserve"> тыс. чел. </w:t>
      </w:r>
    </w:p>
    <w:p w:rsidR="001D6AFD" w:rsidRPr="00DC4092" w:rsidRDefault="001D6AFD" w:rsidP="001D6AFD">
      <w:pPr>
        <w:spacing w:line="276" w:lineRule="auto"/>
        <w:ind w:firstLine="709"/>
        <w:jc w:val="both"/>
        <w:rPr>
          <w:rFonts w:eastAsia="Calibri"/>
          <w:sz w:val="24"/>
          <w:szCs w:val="24"/>
        </w:rPr>
      </w:pPr>
      <w:r w:rsidRPr="00DC4092">
        <w:rPr>
          <w:rFonts w:eastAsia="Calibri"/>
          <w:sz w:val="24"/>
          <w:szCs w:val="24"/>
        </w:rPr>
        <w:t xml:space="preserve">В </w:t>
      </w:r>
      <w:r w:rsidR="00FD4384">
        <w:rPr>
          <w:rFonts w:eastAsia="Calibri"/>
          <w:sz w:val="24"/>
          <w:szCs w:val="24"/>
        </w:rPr>
        <w:t xml:space="preserve">октябре </w:t>
      </w:r>
      <w:r w:rsidRPr="00DC4092">
        <w:rPr>
          <w:rFonts w:eastAsia="Calibri"/>
          <w:sz w:val="24"/>
          <w:szCs w:val="24"/>
        </w:rPr>
        <w:t>2017 год</w:t>
      </w:r>
      <w:r w:rsidR="00FD4384">
        <w:rPr>
          <w:rFonts w:eastAsia="Calibri"/>
          <w:sz w:val="24"/>
          <w:szCs w:val="24"/>
        </w:rPr>
        <w:t>а</w:t>
      </w:r>
      <w:r w:rsidRPr="00DC4092">
        <w:rPr>
          <w:rFonts w:eastAsia="Calibri"/>
          <w:sz w:val="24"/>
          <w:szCs w:val="24"/>
        </w:rPr>
        <w:t xml:space="preserve"> на базе Технопарка «Жигулёвская долина» начнет работу Детский Технопарк «Кванториум». В Кванториуме предусмотрена реализация дополнительных общеобразовательных программ технической и естественнонаучной направленностей по 5-ти направлениям: </w:t>
      </w:r>
      <w:r w:rsidRPr="00DC4092">
        <w:rPr>
          <w:color w:val="000000"/>
          <w:sz w:val="24"/>
          <w:szCs w:val="24"/>
          <w:shd w:val="clear" w:color="auto" w:fill="FFFFFF"/>
        </w:rPr>
        <w:t xml:space="preserve">IT, робототехника, нанотехнологии, автомобилестроение и промышленный дизайн. В Кванториуме планируется организовать занятость </w:t>
      </w:r>
      <w:r w:rsidR="00750038">
        <w:rPr>
          <w:color w:val="000000"/>
          <w:sz w:val="24"/>
          <w:szCs w:val="24"/>
          <w:shd w:val="clear" w:color="auto" w:fill="FFFFFF"/>
        </w:rPr>
        <w:t>600</w:t>
      </w:r>
      <w:r w:rsidRPr="00DC4092">
        <w:rPr>
          <w:color w:val="000000"/>
          <w:sz w:val="24"/>
          <w:szCs w:val="24"/>
          <w:shd w:val="clear" w:color="auto" w:fill="FFFFFF"/>
        </w:rPr>
        <w:t xml:space="preserve"> школьников.</w:t>
      </w:r>
      <w:r w:rsidR="002B6471">
        <w:rPr>
          <w:color w:val="000000"/>
          <w:sz w:val="24"/>
          <w:szCs w:val="24"/>
          <w:shd w:val="clear" w:color="auto" w:fill="FFFFFF"/>
        </w:rPr>
        <w:t xml:space="preserve"> Таким образом, численность детей, </w:t>
      </w:r>
      <w:r w:rsidR="000C0544">
        <w:rPr>
          <w:color w:val="000000"/>
          <w:sz w:val="24"/>
          <w:szCs w:val="24"/>
          <w:shd w:val="clear" w:color="auto" w:fill="FFFFFF"/>
        </w:rPr>
        <w:t>получающих услуги</w:t>
      </w:r>
      <w:r w:rsidR="002B6471">
        <w:rPr>
          <w:color w:val="000000"/>
          <w:sz w:val="24"/>
          <w:szCs w:val="24"/>
          <w:shd w:val="clear" w:color="auto" w:fill="FFFFFF"/>
        </w:rPr>
        <w:t xml:space="preserve"> дополнительн</w:t>
      </w:r>
      <w:r w:rsidR="000C0544">
        <w:rPr>
          <w:color w:val="000000"/>
          <w:sz w:val="24"/>
          <w:szCs w:val="24"/>
          <w:shd w:val="clear" w:color="auto" w:fill="FFFFFF"/>
        </w:rPr>
        <w:t>ого</w:t>
      </w:r>
      <w:r w:rsidR="002B6471">
        <w:rPr>
          <w:color w:val="000000"/>
          <w:sz w:val="24"/>
          <w:szCs w:val="24"/>
          <w:shd w:val="clear" w:color="auto" w:fill="FFFFFF"/>
        </w:rPr>
        <w:t xml:space="preserve"> образовани</w:t>
      </w:r>
      <w:r w:rsidR="000C0544">
        <w:rPr>
          <w:color w:val="000000"/>
          <w:sz w:val="24"/>
          <w:szCs w:val="24"/>
          <w:shd w:val="clear" w:color="auto" w:fill="FFFFFF"/>
        </w:rPr>
        <w:t>я в сфере «Образования»</w:t>
      </w:r>
      <w:r w:rsidR="002B6471">
        <w:rPr>
          <w:color w:val="000000"/>
          <w:sz w:val="24"/>
          <w:szCs w:val="24"/>
          <w:shd w:val="clear" w:color="auto" w:fill="FFFFFF"/>
        </w:rPr>
        <w:t xml:space="preserve">, </w:t>
      </w:r>
      <w:r w:rsidR="006C2CF0">
        <w:rPr>
          <w:color w:val="000000"/>
          <w:sz w:val="24"/>
          <w:szCs w:val="24"/>
          <w:shd w:val="clear" w:color="auto" w:fill="FFFFFF"/>
        </w:rPr>
        <w:t>к концу</w:t>
      </w:r>
      <w:r w:rsidR="002B6471">
        <w:rPr>
          <w:color w:val="000000"/>
          <w:sz w:val="24"/>
          <w:szCs w:val="24"/>
          <w:shd w:val="clear" w:color="auto" w:fill="FFFFFF"/>
        </w:rPr>
        <w:t xml:space="preserve"> 2017 год</w:t>
      </w:r>
      <w:r w:rsidR="006C2CF0">
        <w:rPr>
          <w:color w:val="000000"/>
          <w:sz w:val="24"/>
          <w:szCs w:val="24"/>
          <w:shd w:val="clear" w:color="auto" w:fill="FFFFFF"/>
        </w:rPr>
        <w:t>а</w:t>
      </w:r>
      <w:r w:rsidR="002B6471">
        <w:rPr>
          <w:color w:val="000000"/>
          <w:sz w:val="24"/>
          <w:szCs w:val="24"/>
          <w:shd w:val="clear" w:color="auto" w:fill="FFFFFF"/>
        </w:rPr>
        <w:t xml:space="preserve"> увеличится до 58,9 тыс.чел.</w:t>
      </w:r>
    </w:p>
    <w:p w:rsidR="001D6AFD" w:rsidRDefault="001D6AFD" w:rsidP="001C4394">
      <w:pPr>
        <w:spacing w:line="276" w:lineRule="auto"/>
        <w:ind w:firstLine="709"/>
        <w:jc w:val="both"/>
        <w:rPr>
          <w:bCs/>
          <w:sz w:val="24"/>
          <w:szCs w:val="24"/>
        </w:rPr>
      </w:pPr>
      <w:r w:rsidRPr="00DC4092">
        <w:rPr>
          <w:rFonts w:eastAsia="Calibri"/>
          <w:sz w:val="24"/>
          <w:szCs w:val="24"/>
        </w:rPr>
        <w:t xml:space="preserve">Основными видами учебной деятельности станут практические и семинарские занятия, лабораторные работы, консультации, тематические конференции, проектно-исследовательская деятельность. </w:t>
      </w:r>
      <w:r w:rsidRPr="00DC4092">
        <w:rPr>
          <w:bCs/>
          <w:sz w:val="24"/>
          <w:szCs w:val="24"/>
        </w:rPr>
        <w:t>Занятия в Кванториуме направлено на возобновление интереса детей к техническому творчеству, будет содействовать решению проблемы обеспечения отраслей экономики новым поколением инженерных кадров.</w:t>
      </w:r>
    </w:p>
    <w:p w:rsidR="001D6AFD" w:rsidRPr="003702A1" w:rsidRDefault="001D6AFD" w:rsidP="001D6AFD">
      <w:pPr>
        <w:spacing w:line="276" w:lineRule="auto"/>
        <w:ind w:firstLine="709"/>
        <w:jc w:val="both"/>
        <w:rPr>
          <w:sz w:val="24"/>
          <w:szCs w:val="24"/>
        </w:rPr>
      </w:pPr>
      <w:r w:rsidRPr="003702A1">
        <w:rPr>
          <w:sz w:val="24"/>
          <w:szCs w:val="24"/>
        </w:rPr>
        <w:t>В ведомственном подчинении департамента культуры находится 16 муниципальных бюджетных учреждений дополнительно</w:t>
      </w:r>
      <w:r w:rsidR="001C4394">
        <w:rPr>
          <w:sz w:val="24"/>
          <w:szCs w:val="24"/>
        </w:rPr>
        <w:t>го образования (далее – МБУ ДО), в которых</w:t>
      </w:r>
      <w:r w:rsidRPr="003702A1">
        <w:rPr>
          <w:sz w:val="24"/>
          <w:szCs w:val="24"/>
        </w:rPr>
        <w:t xml:space="preserve"> по состоянию на 01.01.2017</w:t>
      </w:r>
      <w:r>
        <w:rPr>
          <w:sz w:val="24"/>
          <w:szCs w:val="24"/>
        </w:rPr>
        <w:t xml:space="preserve"> </w:t>
      </w:r>
      <w:r w:rsidRPr="003702A1">
        <w:rPr>
          <w:sz w:val="24"/>
          <w:szCs w:val="24"/>
        </w:rPr>
        <w:t>г. обуча</w:t>
      </w:r>
      <w:r>
        <w:rPr>
          <w:sz w:val="24"/>
          <w:szCs w:val="24"/>
        </w:rPr>
        <w:t>лось</w:t>
      </w:r>
      <w:r w:rsidRPr="003702A1">
        <w:rPr>
          <w:sz w:val="24"/>
          <w:szCs w:val="24"/>
        </w:rPr>
        <w:t xml:space="preserve"> 6</w:t>
      </w:r>
      <w:r>
        <w:rPr>
          <w:sz w:val="24"/>
          <w:szCs w:val="24"/>
        </w:rPr>
        <w:t>,</w:t>
      </w:r>
      <w:r w:rsidRPr="003702A1">
        <w:rPr>
          <w:sz w:val="24"/>
          <w:szCs w:val="24"/>
        </w:rPr>
        <w:t>0</w:t>
      </w:r>
      <w:r>
        <w:rPr>
          <w:sz w:val="24"/>
          <w:szCs w:val="24"/>
        </w:rPr>
        <w:t xml:space="preserve"> тыс.</w:t>
      </w:r>
      <w:r w:rsidRPr="003702A1">
        <w:rPr>
          <w:sz w:val="24"/>
          <w:szCs w:val="24"/>
        </w:rPr>
        <w:t xml:space="preserve"> учащихся.</w:t>
      </w:r>
      <w:r>
        <w:rPr>
          <w:sz w:val="24"/>
          <w:szCs w:val="24"/>
        </w:rPr>
        <w:t xml:space="preserve"> </w:t>
      </w:r>
      <w:r w:rsidRPr="003702A1">
        <w:rPr>
          <w:sz w:val="24"/>
          <w:szCs w:val="24"/>
        </w:rPr>
        <w:t xml:space="preserve">Кроме того, </w:t>
      </w:r>
      <w:r w:rsidR="001C4394">
        <w:rPr>
          <w:sz w:val="24"/>
          <w:szCs w:val="24"/>
        </w:rPr>
        <w:t xml:space="preserve">в </w:t>
      </w:r>
      <w:r w:rsidR="001C4394" w:rsidRPr="003702A1">
        <w:rPr>
          <w:sz w:val="24"/>
          <w:szCs w:val="24"/>
        </w:rPr>
        <w:t xml:space="preserve">структуре </w:t>
      </w:r>
      <w:r w:rsidR="001C4394">
        <w:rPr>
          <w:sz w:val="24"/>
          <w:szCs w:val="24"/>
        </w:rPr>
        <w:t>МБОУ</w:t>
      </w:r>
      <w:r w:rsidRPr="003702A1">
        <w:rPr>
          <w:sz w:val="24"/>
          <w:szCs w:val="24"/>
        </w:rPr>
        <w:t xml:space="preserve"> высшего образования «Тольяттинская консерватория»  имеется школа</w:t>
      </w:r>
      <w:r>
        <w:rPr>
          <w:sz w:val="24"/>
          <w:szCs w:val="24"/>
        </w:rPr>
        <w:t>, в которой обучаются</w:t>
      </w:r>
      <w:r w:rsidRPr="003702A1">
        <w:rPr>
          <w:sz w:val="24"/>
          <w:szCs w:val="24"/>
        </w:rPr>
        <w:t xml:space="preserve"> по программам дополнительного образования 540 детей. </w:t>
      </w:r>
    </w:p>
    <w:p w:rsidR="001D6AFD" w:rsidRDefault="001D6AFD" w:rsidP="001D6AFD">
      <w:pPr>
        <w:pStyle w:val="aff1"/>
        <w:spacing w:line="276" w:lineRule="auto"/>
        <w:rPr>
          <w:sz w:val="24"/>
          <w:szCs w:val="24"/>
        </w:rPr>
      </w:pPr>
      <w:r w:rsidRPr="00932BA9">
        <w:rPr>
          <w:sz w:val="24"/>
          <w:szCs w:val="24"/>
        </w:rPr>
        <w:t xml:space="preserve">На территории Тольятти спортивную работу проводят 14 муниципальных бюджетных учреждений дополнительного образования (комплексных) специализированных детско-юношеских спортивных школ олимпийского резерва и </w:t>
      </w:r>
      <w:r>
        <w:rPr>
          <w:sz w:val="24"/>
          <w:szCs w:val="24"/>
        </w:rPr>
        <w:t>2 государственных спортивных учреждения. Всего в них воспитываются более 15 тыс.детей.</w:t>
      </w:r>
    </w:p>
    <w:p w:rsidR="004F1235" w:rsidRPr="00571625" w:rsidRDefault="004F1235" w:rsidP="004F1235">
      <w:pPr>
        <w:spacing w:line="276" w:lineRule="auto"/>
        <w:ind w:firstLine="567"/>
        <w:jc w:val="both"/>
        <w:rPr>
          <w:sz w:val="24"/>
          <w:szCs w:val="24"/>
        </w:rPr>
      </w:pPr>
      <w:r w:rsidRPr="00571625">
        <w:rPr>
          <w:sz w:val="24"/>
          <w:szCs w:val="24"/>
        </w:rPr>
        <w:t>К основным проблемам, сдерживающим развитие сферы образования, относятся:</w:t>
      </w:r>
      <w:r>
        <w:rPr>
          <w:sz w:val="24"/>
          <w:szCs w:val="24"/>
        </w:rPr>
        <w:t xml:space="preserve"> </w:t>
      </w:r>
      <w:r w:rsidRPr="00571625">
        <w:rPr>
          <w:sz w:val="24"/>
          <w:szCs w:val="24"/>
        </w:rPr>
        <w:t>нехватка мест в детских садах для детей раннего возраста</w:t>
      </w:r>
      <w:r>
        <w:rPr>
          <w:sz w:val="24"/>
          <w:szCs w:val="24"/>
        </w:rPr>
        <w:t xml:space="preserve">, </w:t>
      </w:r>
      <w:r w:rsidRPr="00571625">
        <w:rPr>
          <w:sz w:val="24"/>
          <w:szCs w:val="24"/>
        </w:rPr>
        <w:t>отсутствие детских садов в кварталах-новостройках Автозаводского района</w:t>
      </w:r>
      <w:r>
        <w:rPr>
          <w:sz w:val="24"/>
          <w:szCs w:val="24"/>
        </w:rPr>
        <w:t xml:space="preserve"> </w:t>
      </w:r>
      <w:r w:rsidRPr="00571625">
        <w:rPr>
          <w:sz w:val="24"/>
          <w:szCs w:val="24"/>
        </w:rPr>
        <w:t xml:space="preserve">в микрорайоне «Северный» Центрального района, микрорайоне «Жигулевское море» Комсомольского района;  недостаточное  материально-техническое обеспечение </w:t>
      </w:r>
      <w:r>
        <w:rPr>
          <w:sz w:val="24"/>
          <w:szCs w:val="24"/>
        </w:rPr>
        <w:t>образовательных</w:t>
      </w:r>
      <w:r w:rsidRPr="00571625">
        <w:rPr>
          <w:sz w:val="24"/>
          <w:szCs w:val="24"/>
        </w:rPr>
        <w:t xml:space="preserve"> учреждений в соответствии с требованиями ФГОС ДО</w:t>
      </w:r>
      <w:r>
        <w:rPr>
          <w:sz w:val="24"/>
          <w:szCs w:val="24"/>
        </w:rPr>
        <w:t xml:space="preserve">, </w:t>
      </w:r>
      <w:r w:rsidRPr="00571625">
        <w:rPr>
          <w:sz w:val="24"/>
          <w:szCs w:val="24"/>
        </w:rPr>
        <w:t>решение вопросов со строительством, реконструкцией детских садов, школ и учреждений дополнительного образования</w:t>
      </w:r>
      <w:r>
        <w:rPr>
          <w:sz w:val="24"/>
          <w:szCs w:val="24"/>
        </w:rPr>
        <w:t xml:space="preserve"> и др.</w:t>
      </w:r>
    </w:p>
    <w:p w:rsidR="000C0544" w:rsidRDefault="000C0544" w:rsidP="000C0544">
      <w:pPr>
        <w:pStyle w:val="afc"/>
        <w:spacing w:line="276" w:lineRule="auto"/>
        <w:ind w:left="0" w:firstLine="708"/>
        <w:jc w:val="both"/>
        <w:rPr>
          <w:szCs w:val="24"/>
        </w:rPr>
      </w:pPr>
      <w:r w:rsidRPr="000C0544">
        <w:rPr>
          <w:szCs w:val="24"/>
        </w:rPr>
        <w:t>В рамках муниципальной  программы «Развитие системы образования городского округа Тольятти на 2017-2020 годы"</w:t>
      </w:r>
      <w:r w:rsidRPr="00B3720E">
        <w:rPr>
          <w:szCs w:val="24"/>
        </w:rPr>
        <w:t xml:space="preserve"> по состоянию на </w:t>
      </w:r>
      <w:r w:rsidR="00FD2747">
        <w:rPr>
          <w:szCs w:val="24"/>
        </w:rPr>
        <w:t>0</w:t>
      </w:r>
      <w:r w:rsidRPr="00B3720E">
        <w:rPr>
          <w:szCs w:val="24"/>
        </w:rPr>
        <w:t>1.10.2017 года выполнен</w:t>
      </w:r>
      <w:r>
        <w:rPr>
          <w:szCs w:val="24"/>
        </w:rPr>
        <w:t>ы следующее:</w:t>
      </w:r>
    </w:p>
    <w:p w:rsidR="000C0544" w:rsidRPr="004B1810" w:rsidRDefault="000C0544" w:rsidP="000C0544">
      <w:pPr>
        <w:pStyle w:val="afc"/>
        <w:spacing w:line="276" w:lineRule="auto"/>
        <w:ind w:left="0" w:firstLine="708"/>
        <w:jc w:val="both"/>
        <w:rPr>
          <w:szCs w:val="24"/>
        </w:rPr>
      </w:pPr>
      <w:r>
        <w:rPr>
          <w:szCs w:val="24"/>
        </w:rPr>
        <w:t>-</w:t>
      </w:r>
      <w:r w:rsidRPr="00B3720E">
        <w:rPr>
          <w:szCs w:val="24"/>
        </w:rPr>
        <w:t xml:space="preserve"> </w:t>
      </w:r>
      <w:r w:rsidRPr="000C0544">
        <w:rPr>
          <w:szCs w:val="24"/>
        </w:rPr>
        <w:t>работ</w:t>
      </w:r>
      <w:r>
        <w:rPr>
          <w:szCs w:val="24"/>
        </w:rPr>
        <w:t>ы</w:t>
      </w:r>
      <w:r w:rsidRPr="000C0544">
        <w:rPr>
          <w:szCs w:val="24"/>
        </w:rPr>
        <w:t xml:space="preserve"> по капитальному ремонту МБУ «Школа № 33» (отделка всех учебных блоков, замена покрытия из линолеума в классах, замена покрытия из керамической плитки в сан.узлах, ремонт автоматизированной пожарной сигнализации) </w:t>
      </w:r>
      <w:r>
        <w:rPr>
          <w:szCs w:val="24"/>
        </w:rPr>
        <w:t>на</w:t>
      </w:r>
      <w:r w:rsidRPr="000C0544">
        <w:rPr>
          <w:szCs w:val="24"/>
        </w:rPr>
        <w:t xml:space="preserve"> сумм</w:t>
      </w:r>
      <w:r>
        <w:rPr>
          <w:szCs w:val="24"/>
        </w:rPr>
        <w:t>у</w:t>
      </w:r>
      <w:r w:rsidR="00FD2747">
        <w:rPr>
          <w:szCs w:val="24"/>
        </w:rPr>
        <w:t xml:space="preserve"> 3,8 млн.руб;</w:t>
      </w:r>
      <w:r w:rsidRPr="000C0544">
        <w:rPr>
          <w:szCs w:val="24"/>
        </w:rPr>
        <w:t xml:space="preserve"> </w:t>
      </w:r>
    </w:p>
    <w:p w:rsidR="001D6AFD" w:rsidRPr="00D67F89" w:rsidRDefault="001D6AFD" w:rsidP="001D6AFD">
      <w:pPr>
        <w:pStyle w:val="aff1"/>
        <w:spacing w:line="276" w:lineRule="auto"/>
        <w:rPr>
          <w:sz w:val="24"/>
          <w:szCs w:val="24"/>
          <w:highlight w:val="yellow"/>
        </w:rPr>
      </w:pPr>
      <w:r w:rsidRPr="00EF5A36">
        <w:rPr>
          <w:sz w:val="24"/>
          <w:szCs w:val="24"/>
        </w:rPr>
        <w:t xml:space="preserve">- </w:t>
      </w:r>
      <w:r w:rsidR="00EF5A36" w:rsidRPr="00EF5A36">
        <w:rPr>
          <w:sz w:val="24"/>
          <w:szCs w:val="24"/>
        </w:rPr>
        <w:t>выделены средства</w:t>
      </w:r>
      <w:r w:rsidRPr="00EF5A36">
        <w:rPr>
          <w:sz w:val="24"/>
          <w:szCs w:val="24"/>
        </w:rPr>
        <w:t xml:space="preserve"> </w:t>
      </w:r>
      <w:r w:rsidR="00EF5A36" w:rsidRPr="00EF5A36">
        <w:rPr>
          <w:sz w:val="24"/>
          <w:szCs w:val="24"/>
        </w:rPr>
        <w:t xml:space="preserve">на выполнение </w:t>
      </w:r>
      <w:r w:rsidRPr="00EF5A36">
        <w:rPr>
          <w:sz w:val="24"/>
          <w:szCs w:val="24"/>
        </w:rPr>
        <w:t>капитальн</w:t>
      </w:r>
      <w:r w:rsidR="00EF5A36" w:rsidRPr="00EF5A36">
        <w:rPr>
          <w:sz w:val="24"/>
          <w:szCs w:val="24"/>
        </w:rPr>
        <w:t>ого</w:t>
      </w:r>
      <w:r w:rsidRPr="00EF5A36">
        <w:rPr>
          <w:sz w:val="24"/>
          <w:szCs w:val="24"/>
        </w:rPr>
        <w:t xml:space="preserve"> ремонт</w:t>
      </w:r>
      <w:r w:rsidR="00EF5A36" w:rsidRPr="00EF5A36">
        <w:rPr>
          <w:sz w:val="24"/>
          <w:szCs w:val="24"/>
        </w:rPr>
        <w:t>а</w:t>
      </w:r>
      <w:r w:rsidRPr="00EF5A36">
        <w:rPr>
          <w:sz w:val="24"/>
          <w:szCs w:val="24"/>
        </w:rPr>
        <w:t xml:space="preserve"> кровли в  </w:t>
      </w:r>
      <w:r w:rsidRPr="009A7AF1">
        <w:rPr>
          <w:sz w:val="24"/>
          <w:szCs w:val="24"/>
        </w:rPr>
        <w:t>образовательных учреждени</w:t>
      </w:r>
      <w:r w:rsidR="009A7AF1" w:rsidRPr="009A7AF1">
        <w:rPr>
          <w:sz w:val="24"/>
          <w:szCs w:val="24"/>
        </w:rPr>
        <w:t xml:space="preserve">ях в сумме 5,55 млн.руб. </w:t>
      </w:r>
      <w:r w:rsidR="009A7AF1">
        <w:rPr>
          <w:sz w:val="24"/>
          <w:szCs w:val="24"/>
        </w:rPr>
        <w:t>Выполнены работы в МБУ д/с №№ 80, 200</w:t>
      </w:r>
      <w:r w:rsidR="008A2AF8">
        <w:rPr>
          <w:sz w:val="24"/>
          <w:szCs w:val="24"/>
        </w:rPr>
        <w:t>;</w:t>
      </w:r>
      <w:r w:rsidR="009A7AF1">
        <w:rPr>
          <w:sz w:val="24"/>
          <w:szCs w:val="24"/>
        </w:rPr>
        <w:t xml:space="preserve"> в МБУ</w:t>
      </w:r>
      <w:r w:rsidR="008A2AF8">
        <w:rPr>
          <w:sz w:val="24"/>
          <w:szCs w:val="24"/>
        </w:rPr>
        <w:t xml:space="preserve"> </w:t>
      </w:r>
      <w:r w:rsidR="009A7AF1">
        <w:rPr>
          <w:sz w:val="24"/>
          <w:szCs w:val="24"/>
        </w:rPr>
        <w:t>д/с № 81</w:t>
      </w:r>
      <w:r w:rsidR="008A2AF8">
        <w:rPr>
          <w:sz w:val="24"/>
          <w:szCs w:val="24"/>
        </w:rPr>
        <w:t>, МБУ школа № 28, лицей №76</w:t>
      </w:r>
      <w:r w:rsidR="009A7AF1">
        <w:rPr>
          <w:sz w:val="24"/>
          <w:szCs w:val="24"/>
        </w:rPr>
        <w:t xml:space="preserve"> – работы ведутся, срок окончания </w:t>
      </w:r>
      <w:r w:rsidR="00214E7B">
        <w:rPr>
          <w:sz w:val="24"/>
          <w:szCs w:val="24"/>
        </w:rPr>
        <w:t>работ  - 31.10.2017;</w:t>
      </w:r>
      <w:r w:rsidR="008A2AF8">
        <w:rPr>
          <w:sz w:val="24"/>
          <w:szCs w:val="24"/>
        </w:rPr>
        <w:t xml:space="preserve"> </w:t>
      </w:r>
    </w:p>
    <w:p w:rsidR="008A2AF8" w:rsidRPr="008A2AF8" w:rsidRDefault="008A2AF8" w:rsidP="008A2AF8">
      <w:pPr>
        <w:widowControl w:val="0"/>
        <w:tabs>
          <w:tab w:val="left" w:pos="0"/>
        </w:tabs>
        <w:autoSpaceDE w:val="0"/>
        <w:autoSpaceDN w:val="0"/>
        <w:adjustRightInd w:val="0"/>
        <w:spacing w:line="276" w:lineRule="auto"/>
        <w:ind w:firstLine="567"/>
        <w:jc w:val="both"/>
        <w:rPr>
          <w:sz w:val="24"/>
          <w:szCs w:val="24"/>
        </w:rPr>
      </w:pPr>
      <w:r w:rsidRPr="008A2AF8">
        <w:rPr>
          <w:sz w:val="24"/>
          <w:szCs w:val="24"/>
        </w:rPr>
        <w:t>- для обеспечения доступности для маломобильных групп населения и инвалидов выделены субсидии из областного и федерального бюджетов</w:t>
      </w:r>
      <w:r>
        <w:rPr>
          <w:sz w:val="24"/>
          <w:szCs w:val="24"/>
        </w:rPr>
        <w:t>.</w:t>
      </w:r>
      <w:r w:rsidRPr="008A2AF8">
        <w:rPr>
          <w:sz w:val="24"/>
          <w:szCs w:val="24"/>
        </w:rPr>
        <w:t xml:space="preserve"> С учетом софинансирования общие затраты  составляют – 9,1</w:t>
      </w:r>
      <w:r>
        <w:rPr>
          <w:sz w:val="24"/>
          <w:szCs w:val="24"/>
        </w:rPr>
        <w:t>4</w:t>
      </w:r>
      <w:r w:rsidRPr="008A2AF8">
        <w:rPr>
          <w:sz w:val="24"/>
          <w:szCs w:val="24"/>
        </w:rPr>
        <w:t xml:space="preserve"> млн. руб. Работы выполнены в МБУ д/с №№ 26, 33,197, в детском саду № 5 – работы ведутся, срок окончания работ 31.10.2017, в МБОУДО «ДТДМ» расторгают контракт по соглашению сторон, проводятся мероприятия по заключению прямых договоров. </w:t>
      </w:r>
    </w:p>
    <w:p w:rsidR="008A2AF8" w:rsidRPr="00EA31AC" w:rsidRDefault="008A2AF8" w:rsidP="008A2AF8">
      <w:pPr>
        <w:tabs>
          <w:tab w:val="left" w:pos="993"/>
        </w:tabs>
        <w:spacing w:line="276" w:lineRule="auto"/>
        <w:ind w:firstLine="709"/>
        <w:jc w:val="both"/>
        <w:rPr>
          <w:sz w:val="24"/>
          <w:szCs w:val="24"/>
        </w:rPr>
      </w:pPr>
      <w:r w:rsidRPr="00EA31AC">
        <w:rPr>
          <w:sz w:val="24"/>
          <w:szCs w:val="24"/>
        </w:rPr>
        <w:t>В 2017 году ведутся работы по строительству здания детского сада № 210 «Ладушки» в 20 квартале Автозаводского района.</w:t>
      </w:r>
    </w:p>
    <w:p w:rsidR="008A2AF8" w:rsidRPr="008A2AF8" w:rsidRDefault="008A2AF8" w:rsidP="008A2AF8">
      <w:pPr>
        <w:widowControl w:val="0"/>
        <w:tabs>
          <w:tab w:val="left" w:pos="0"/>
        </w:tabs>
        <w:autoSpaceDE w:val="0"/>
        <w:autoSpaceDN w:val="0"/>
        <w:adjustRightInd w:val="0"/>
        <w:spacing w:line="276" w:lineRule="auto"/>
        <w:ind w:firstLine="567"/>
        <w:jc w:val="both"/>
        <w:rPr>
          <w:sz w:val="24"/>
          <w:szCs w:val="24"/>
        </w:rPr>
      </w:pPr>
    </w:p>
    <w:p w:rsidR="001D6AFD" w:rsidRPr="0069351E" w:rsidRDefault="001D6AFD" w:rsidP="001D6AFD">
      <w:pPr>
        <w:tabs>
          <w:tab w:val="left" w:pos="7485"/>
        </w:tabs>
        <w:spacing w:line="276" w:lineRule="auto"/>
        <w:jc w:val="center"/>
        <w:rPr>
          <w:sz w:val="24"/>
          <w:szCs w:val="24"/>
        </w:rPr>
      </w:pPr>
      <w:r w:rsidRPr="0069351E">
        <w:rPr>
          <w:sz w:val="24"/>
          <w:szCs w:val="24"/>
        </w:rPr>
        <w:t xml:space="preserve">Ожидаемое выполнение прогнозных показателей </w:t>
      </w:r>
    </w:p>
    <w:p w:rsidR="001D6AFD" w:rsidRDefault="001D6AFD" w:rsidP="001D6AFD">
      <w:pPr>
        <w:tabs>
          <w:tab w:val="left" w:pos="7485"/>
        </w:tabs>
        <w:spacing w:line="276" w:lineRule="auto"/>
        <w:jc w:val="center"/>
        <w:rPr>
          <w:sz w:val="24"/>
          <w:szCs w:val="24"/>
        </w:rPr>
      </w:pPr>
      <w:r w:rsidRPr="0069351E">
        <w:rPr>
          <w:sz w:val="24"/>
          <w:szCs w:val="24"/>
        </w:rPr>
        <w:t>по разделу «Образование» на 201</w:t>
      </w:r>
      <w:r>
        <w:rPr>
          <w:sz w:val="24"/>
          <w:szCs w:val="24"/>
        </w:rPr>
        <w:t>7</w:t>
      </w:r>
      <w:r w:rsidRPr="0069351E">
        <w:rPr>
          <w:sz w:val="24"/>
          <w:szCs w:val="24"/>
        </w:rPr>
        <w:t xml:space="preserve"> год</w:t>
      </w:r>
    </w:p>
    <w:p w:rsidR="00B347E3" w:rsidRPr="0069351E" w:rsidRDefault="00B347E3" w:rsidP="001D6AFD">
      <w:pPr>
        <w:tabs>
          <w:tab w:val="left" w:pos="7485"/>
        </w:tabs>
        <w:spacing w:line="276" w:lineRule="auto"/>
        <w:jc w:val="center"/>
        <w:rPr>
          <w:sz w:val="24"/>
          <w:szCs w:val="24"/>
        </w:rPr>
      </w:pPr>
    </w:p>
    <w:tbl>
      <w:tblPr>
        <w:tblW w:w="4945" w:type="pct"/>
        <w:tblLook w:val="0000" w:firstRow="0" w:lastRow="0" w:firstColumn="0" w:lastColumn="0" w:noHBand="0" w:noVBand="0"/>
      </w:tblPr>
      <w:tblGrid>
        <w:gridCol w:w="3509"/>
        <w:gridCol w:w="1986"/>
        <w:gridCol w:w="1276"/>
        <w:gridCol w:w="1418"/>
        <w:gridCol w:w="1276"/>
      </w:tblGrid>
      <w:tr w:rsidR="001D6AFD" w:rsidRPr="0069351E" w:rsidTr="00B347E3">
        <w:trPr>
          <w:trHeight w:val="216"/>
          <w:tblHeader/>
        </w:trPr>
        <w:tc>
          <w:tcPr>
            <w:tcW w:w="1854" w:type="pct"/>
            <w:vMerge w:val="restart"/>
            <w:tcBorders>
              <w:top w:val="single" w:sz="4" w:space="0" w:color="000000"/>
              <w:left w:val="single" w:sz="4" w:space="0" w:color="000000"/>
              <w:bottom w:val="single" w:sz="4" w:space="0" w:color="000000"/>
            </w:tcBorders>
          </w:tcPr>
          <w:p w:rsidR="001D6AFD" w:rsidRPr="0069351E" w:rsidRDefault="001D6AFD" w:rsidP="00812346">
            <w:pPr>
              <w:spacing w:line="276" w:lineRule="auto"/>
              <w:jc w:val="center"/>
              <w:rPr>
                <w:sz w:val="24"/>
                <w:szCs w:val="24"/>
              </w:rPr>
            </w:pPr>
            <w:r w:rsidRPr="0069351E">
              <w:rPr>
                <w:sz w:val="24"/>
                <w:szCs w:val="24"/>
              </w:rPr>
              <w:t>Показатели</w:t>
            </w:r>
          </w:p>
        </w:tc>
        <w:tc>
          <w:tcPr>
            <w:tcW w:w="1049" w:type="pct"/>
            <w:vMerge w:val="restart"/>
            <w:tcBorders>
              <w:top w:val="single" w:sz="4" w:space="0" w:color="000000"/>
              <w:left w:val="single" w:sz="4" w:space="0" w:color="000000"/>
              <w:right w:val="single" w:sz="4" w:space="0" w:color="000000"/>
            </w:tcBorders>
          </w:tcPr>
          <w:p w:rsidR="001D6AFD" w:rsidRPr="0069351E" w:rsidRDefault="001D6AFD" w:rsidP="00812346">
            <w:pPr>
              <w:spacing w:line="276" w:lineRule="auto"/>
              <w:jc w:val="center"/>
              <w:rPr>
                <w:sz w:val="24"/>
                <w:szCs w:val="24"/>
              </w:rPr>
            </w:pPr>
            <w:r w:rsidRPr="0069351E">
              <w:rPr>
                <w:sz w:val="24"/>
                <w:szCs w:val="24"/>
              </w:rPr>
              <w:t>Ед. измерения</w:t>
            </w:r>
          </w:p>
        </w:tc>
        <w:tc>
          <w:tcPr>
            <w:tcW w:w="1423" w:type="pct"/>
            <w:gridSpan w:val="2"/>
            <w:tcBorders>
              <w:top w:val="single" w:sz="4" w:space="0" w:color="000000"/>
              <w:left w:val="single" w:sz="4" w:space="0" w:color="000000"/>
              <w:bottom w:val="single" w:sz="4" w:space="0" w:color="000000"/>
            </w:tcBorders>
          </w:tcPr>
          <w:p w:rsidR="001D6AFD" w:rsidRPr="0069351E" w:rsidRDefault="001D6AFD" w:rsidP="00812346">
            <w:pPr>
              <w:jc w:val="center"/>
              <w:rPr>
                <w:sz w:val="24"/>
                <w:szCs w:val="24"/>
              </w:rPr>
            </w:pPr>
            <w:r w:rsidRPr="0069351E">
              <w:rPr>
                <w:sz w:val="24"/>
                <w:szCs w:val="24"/>
              </w:rPr>
              <w:t>Прогноз на 201</w:t>
            </w:r>
            <w:r>
              <w:rPr>
                <w:sz w:val="24"/>
                <w:szCs w:val="24"/>
              </w:rPr>
              <w:t>7</w:t>
            </w:r>
            <w:r w:rsidRPr="0069351E">
              <w:rPr>
                <w:sz w:val="24"/>
                <w:szCs w:val="24"/>
              </w:rPr>
              <w:t xml:space="preserve"> год</w:t>
            </w:r>
          </w:p>
        </w:tc>
        <w:tc>
          <w:tcPr>
            <w:tcW w:w="674" w:type="pct"/>
            <w:vMerge w:val="restart"/>
            <w:tcBorders>
              <w:top w:val="single" w:sz="4" w:space="0" w:color="000000"/>
              <w:left w:val="single" w:sz="4" w:space="0" w:color="000000"/>
              <w:bottom w:val="single" w:sz="4" w:space="0" w:color="000000"/>
              <w:right w:val="single" w:sz="4" w:space="0" w:color="000000"/>
            </w:tcBorders>
          </w:tcPr>
          <w:p w:rsidR="001D6AFD" w:rsidRPr="0069351E" w:rsidRDefault="001D6AFD" w:rsidP="00812346">
            <w:pPr>
              <w:jc w:val="center"/>
              <w:rPr>
                <w:sz w:val="24"/>
                <w:szCs w:val="24"/>
              </w:rPr>
            </w:pPr>
            <w:r w:rsidRPr="0069351E">
              <w:rPr>
                <w:sz w:val="24"/>
                <w:szCs w:val="24"/>
              </w:rPr>
              <w:t>201</w:t>
            </w:r>
            <w:r>
              <w:rPr>
                <w:sz w:val="24"/>
                <w:szCs w:val="24"/>
              </w:rPr>
              <w:t>7</w:t>
            </w:r>
            <w:r w:rsidRPr="0069351E">
              <w:rPr>
                <w:sz w:val="24"/>
                <w:szCs w:val="24"/>
              </w:rPr>
              <w:t xml:space="preserve"> год (оценка)</w:t>
            </w:r>
          </w:p>
        </w:tc>
      </w:tr>
      <w:tr w:rsidR="001D6AFD" w:rsidRPr="0069351E" w:rsidTr="00B347E3">
        <w:trPr>
          <w:tblHeader/>
        </w:trPr>
        <w:tc>
          <w:tcPr>
            <w:tcW w:w="1854" w:type="pct"/>
            <w:vMerge/>
            <w:tcBorders>
              <w:top w:val="single" w:sz="4" w:space="0" w:color="000000"/>
              <w:left w:val="single" w:sz="4" w:space="0" w:color="000000"/>
              <w:bottom w:val="single" w:sz="4" w:space="0" w:color="000000"/>
            </w:tcBorders>
          </w:tcPr>
          <w:p w:rsidR="001D6AFD" w:rsidRPr="0069351E" w:rsidRDefault="001D6AFD" w:rsidP="00812346">
            <w:pPr>
              <w:snapToGrid w:val="0"/>
              <w:spacing w:line="276" w:lineRule="auto"/>
              <w:rPr>
                <w:sz w:val="24"/>
                <w:szCs w:val="24"/>
              </w:rPr>
            </w:pPr>
          </w:p>
        </w:tc>
        <w:tc>
          <w:tcPr>
            <w:tcW w:w="1049" w:type="pct"/>
            <w:vMerge/>
            <w:tcBorders>
              <w:left w:val="single" w:sz="4" w:space="0" w:color="000000"/>
              <w:bottom w:val="single" w:sz="4" w:space="0" w:color="000000"/>
              <w:right w:val="single" w:sz="4" w:space="0" w:color="000000"/>
            </w:tcBorders>
          </w:tcPr>
          <w:p w:rsidR="001D6AFD" w:rsidRPr="0069351E" w:rsidRDefault="001D6AFD" w:rsidP="00812346">
            <w:pPr>
              <w:spacing w:line="276" w:lineRule="auto"/>
              <w:jc w:val="center"/>
              <w:rPr>
                <w:sz w:val="24"/>
                <w:szCs w:val="24"/>
              </w:rPr>
            </w:pPr>
          </w:p>
        </w:tc>
        <w:tc>
          <w:tcPr>
            <w:tcW w:w="674" w:type="pct"/>
            <w:tcBorders>
              <w:top w:val="single" w:sz="4" w:space="0" w:color="000000"/>
              <w:left w:val="single" w:sz="4" w:space="0" w:color="000000"/>
              <w:bottom w:val="single" w:sz="4" w:space="0" w:color="000000"/>
            </w:tcBorders>
          </w:tcPr>
          <w:p w:rsidR="001D6AFD" w:rsidRPr="0069351E" w:rsidRDefault="001D6AFD" w:rsidP="00812346">
            <w:pPr>
              <w:spacing w:line="276" w:lineRule="auto"/>
              <w:jc w:val="center"/>
              <w:rPr>
                <w:sz w:val="24"/>
                <w:szCs w:val="24"/>
              </w:rPr>
            </w:pPr>
            <w:r w:rsidRPr="0069351E">
              <w:rPr>
                <w:sz w:val="24"/>
                <w:szCs w:val="24"/>
              </w:rPr>
              <w:t>1 вариант</w:t>
            </w:r>
          </w:p>
        </w:tc>
        <w:tc>
          <w:tcPr>
            <w:tcW w:w="749" w:type="pct"/>
            <w:tcBorders>
              <w:top w:val="single" w:sz="4" w:space="0" w:color="000000"/>
              <w:left w:val="single" w:sz="4" w:space="0" w:color="000000"/>
              <w:bottom w:val="single" w:sz="4" w:space="0" w:color="000000"/>
            </w:tcBorders>
          </w:tcPr>
          <w:p w:rsidR="001D6AFD" w:rsidRPr="0069351E" w:rsidRDefault="001D6AFD" w:rsidP="00812346">
            <w:pPr>
              <w:spacing w:line="276" w:lineRule="auto"/>
              <w:jc w:val="center"/>
              <w:rPr>
                <w:sz w:val="24"/>
                <w:szCs w:val="24"/>
              </w:rPr>
            </w:pPr>
            <w:r w:rsidRPr="0069351E">
              <w:rPr>
                <w:sz w:val="24"/>
                <w:szCs w:val="24"/>
              </w:rPr>
              <w:t>2 вариант</w:t>
            </w:r>
          </w:p>
        </w:tc>
        <w:tc>
          <w:tcPr>
            <w:tcW w:w="674" w:type="pct"/>
            <w:vMerge/>
            <w:tcBorders>
              <w:top w:val="single" w:sz="4" w:space="0" w:color="000000"/>
              <w:left w:val="single" w:sz="4" w:space="0" w:color="000000"/>
              <w:bottom w:val="single" w:sz="4" w:space="0" w:color="000000"/>
              <w:right w:val="single" w:sz="4" w:space="0" w:color="000000"/>
            </w:tcBorders>
          </w:tcPr>
          <w:p w:rsidR="001D6AFD" w:rsidRPr="0069351E" w:rsidRDefault="001D6AFD" w:rsidP="00812346">
            <w:pPr>
              <w:snapToGrid w:val="0"/>
              <w:spacing w:line="276" w:lineRule="auto"/>
              <w:rPr>
                <w:sz w:val="24"/>
                <w:szCs w:val="24"/>
              </w:rPr>
            </w:pPr>
          </w:p>
        </w:tc>
      </w:tr>
      <w:tr w:rsidR="001D6AFD" w:rsidRPr="0069351E" w:rsidTr="00B347E3">
        <w:trPr>
          <w:trHeight w:val="694"/>
        </w:trPr>
        <w:tc>
          <w:tcPr>
            <w:tcW w:w="1854" w:type="pct"/>
            <w:tcBorders>
              <w:top w:val="single" w:sz="4" w:space="0" w:color="000000"/>
              <w:left w:val="single" w:sz="4" w:space="0" w:color="000000"/>
              <w:bottom w:val="single" w:sz="4" w:space="0" w:color="000000"/>
            </w:tcBorders>
          </w:tcPr>
          <w:p w:rsidR="001D6AFD" w:rsidRPr="0069351E" w:rsidRDefault="001D6AFD" w:rsidP="00812346">
            <w:pPr>
              <w:rPr>
                <w:sz w:val="24"/>
                <w:szCs w:val="24"/>
              </w:rPr>
            </w:pPr>
            <w:r w:rsidRPr="0069351E">
              <w:rPr>
                <w:sz w:val="24"/>
                <w:szCs w:val="24"/>
              </w:rPr>
              <w:t>Численность детей в дошкольных образовательных учреждениях</w:t>
            </w:r>
          </w:p>
        </w:tc>
        <w:tc>
          <w:tcPr>
            <w:tcW w:w="1049" w:type="pct"/>
            <w:tcBorders>
              <w:top w:val="single" w:sz="4" w:space="0" w:color="000000"/>
              <w:left w:val="single" w:sz="4" w:space="0" w:color="000000"/>
              <w:bottom w:val="single" w:sz="4" w:space="0" w:color="000000"/>
              <w:right w:val="single" w:sz="4" w:space="0" w:color="000000"/>
            </w:tcBorders>
          </w:tcPr>
          <w:p w:rsidR="001D6AFD" w:rsidRPr="0069351E" w:rsidRDefault="001D6AFD" w:rsidP="00812346">
            <w:pPr>
              <w:jc w:val="center"/>
              <w:rPr>
                <w:sz w:val="24"/>
                <w:szCs w:val="24"/>
              </w:rPr>
            </w:pPr>
          </w:p>
          <w:p w:rsidR="001D6AFD" w:rsidRPr="0069351E" w:rsidRDefault="001D6AFD" w:rsidP="00812346">
            <w:pPr>
              <w:jc w:val="center"/>
              <w:rPr>
                <w:sz w:val="24"/>
                <w:szCs w:val="24"/>
              </w:rPr>
            </w:pPr>
            <w:r w:rsidRPr="0069351E">
              <w:rPr>
                <w:sz w:val="24"/>
                <w:szCs w:val="24"/>
              </w:rPr>
              <w:t>чел.</w:t>
            </w:r>
          </w:p>
        </w:tc>
        <w:tc>
          <w:tcPr>
            <w:tcW w:w="674" w:type="pct"/>
            <w:tcBorders>
              <w:top w:val="single" w:sz="4" w:space="0" w:color="000000"/>
              <w:left w:val="single" w:sz="4" w:space="0" w:color="000000"/>
              <w:bottom w:val="single" w:sz="4" w:space="0" w:color="000000"/>
            </w:tcBorders>
            <w:vAlign w:val="center"/>
          </w:tcPr>
          <w:p w:rsidR="001D6AFD" w:rsidRPr="0069351E" w:rsidRDefault="001D6AFD" w:rsidP="00812346">
            <w:pPr>
              <w:jc w:val="center"/>
              <w:rPr>
                <w:sz w:val="24"/>
                <w:szCs w:val="24"/>
              </w:rPr>
            </w:pPr>
            <w:r>
              <w:rPr>
                <w:sz w:val="24"/>
                <w:szCs w:val="24"/>
              </w:rPr>
              <w:t>40 063</w:t>
            </w:r>
          </w:p>
        </w:tc>
        <w:tc>
          <w:tcPr>
            <w:tcW w:w="749" w:type="pct"/>
            <w:tcBorders>
              <w:top w:val="single" w:sz="4" w:space="0" w:color="000000"/>
              <w:left w:val="single" w:sz="4" w:space="0" w:color="000000"/>
              <w:bottom w:val="single" w:sz="4" w:space="0" w:color="000000"/>
            </w:tcBorders>
            <w:vAlign w:val="center"/>
          </w:tcPr>
          <w:p w:rsidR="001D6AFD" w:rsidRPr="0069351E" w:rsidRDefault="001D6AFD" w:rsidP="00812346">
            <w:pPr>
              <w:jc w:val="center"/>
              <w:rPr>
                <w:sz w:val="24"/>
                <w:szCs w:val="24"/>
              </w:rPr>
            </w:pPr>
            <w:r w:rsidRPr="0069351E">
              <w:rPr>
                <w:sz w:val="24"/>
                <w:szCs w:val="24"/>
              </w:rPr>
              <w:t xml:space="preserve">40 </w:t>
            </w:r>
            <w:r>
              <w:rPr>
                <w:sz w:val="24"/>
                <w:szCs w:val="24"/>
              </w:rPr>
              <w:t>151</w:t>
            </w:r>
          </w:p>
        </w:tc>
        <w:tc>
          <w:tcPr>
            <w:tcW w:w="674" w:type="pct"/>
            <w:tcBorders>
              <w:top w:val="single" w:sz="4" w:space="0" w:color="000000"/>
              <w:left w:val="single" w:sz="4" w:space="0" w:color="000000"/>
              <w:bottom w:val="single" w:sz="4" w:space="0" w:color="000000"/>
              <w:right w:val="single" w:sz="4" w:space="0" w:color="000000"/>
            </w:tcBorders>
            <w:vAlign w:val="center"/>
          </w:tcPr>
          <w:p w:rsidR="001D6AFD" w:rsidRPr="0069351E" w:rsidRDefault="001D6AFD" w:rsidP="00812346">
            <w:pPr>
              <w:jc w:val="center"/>
              <w:rPr>
                <w:sz w:val="24"/>
                <w:szCs w:val="24"/>
              </w:rPr>
            </w:pPr>
            <w:r w:rsidRPr="0069351E">
              <w:rPr>
                <w:sz w:val="24"/>
                <w:szCs w:val="24"/>
              </w:rPr>
              <w:t xml:space="preserve">40 </w:t>
            </w:r>
            <w:r>
              <w:rPr>
                <w:sz w:val="24"/>
                <w:szCs w:val="24"/>
              </w:rPr>
              <w:t>500</w:t>
            </w:r>
          </w:p>
        </w:tc>
      </w:tr>
      <w:tr w:rsidR="001D6AFD" w:rsidRPr="0069351E" w:rsidTr="00B347E3">
        <w:trPr>
          <w:trHeight w:val="703"/>
        </w:trPr>
        <w:tc>
          <w:tcPr>
            <w:tcW w:w="1854" w:type="pct"/>
            <w:tcBorders>
              <w:top w:val="single" w:sz="4" w:space="0" w:color="000000"/>
              <w:left w:val="single" w:sz="4" w:space="0" w:color="000000"/>
              <w:bottom w:val="single" w:sz="4" w:space="0" w:color="000000"/>
            </w:tcBorders>
          </w:tcPr>
          <w:p w:rsidR="001D6AFD" w:rsidRPr="0069351E" w:rsidRDefault="001D6AFD" w:rsidP="00812346">
            <w:pPr>
              <w:rPr>
                <w:sz w:val="24"/>
                <w:szCs w:val="24"/>
              </w:rPr>
            </w:pPr>
            <w:r w:rsidRPr="0069351E">
              <w:rPr>
                <w:sz w:val="24"/>
                <w:szCs w:val="24"/>
              </w:rPr>
              <w:t>Обеспеченность дошкольными образовательными учреждениями</w:t>
            </w:r>
          </w:p>
        </w:tc>
        <w:tc>
          <w:tcPr>
            <w:tcW w:w="1049" w:type="pct"/>
            <w:tcBorders>
              <w:top w:val="single" w:sz="4" w:space="0" w:color="000000"/>
              <w:left w:val="single" w:sz="4" w:space="0" w:color="000000"/>
              <w:bottom w:val="single" w:sz="4" w:space="0" w:color="000000"/>
              <w:right w:val="single" w:sz="4" w:space="0" w:color="000000"/>
            </w:tcBorders>
          </w:tcPr>
          <w:p w:rsidR="001D6AFD" w:rsidRPr="0069351E" w:rsidRDefault="001D6AFD" w:rsidP="00812346">
            <w:pPr>
              <w:jc w:val="center"/>
              <w:rPr>
                <w:sz w:val="24"/>
                <w:szCs w:val="24"/>
              </w:rPr>
            </w:pPr>
            <w:r w:rsidRPr="0069351E">
              <w:rPr>
                <w:sz w:val="24"/>
                <w:szCs w:val="24"/>
              </w:rPr>
              <w:t>мест на 1000 детей в возрасте 3-6 лет</w:t>
            </w:r>
          </w:p>
        </w:tc>
        <w:tc>
          <w:tcPr>
            <w:tcW w:w="674" w:type="pct"/>
            <w:tcBorders>
              <w:top w:val="single" w:sz="4" w:space="0" w:color="000000"/>
              <w:left w:val="single" w:sz="4" w:space="0" w:color="000000"/>
              <w:bottom w:val="single" w:sz="4" w:space="0" w:color="000000"/>
            </w:tcBorders>
            <w:vAlign w:val="center"/>
          </w:tcPr>
          <w:p w:rsidR="001D6AFD" w:rsidRPr="0069351E" w:rsidRDefault="001D6AFD" w:rsidP="00812346">
            <w:pPr>
              <w:jc w:val="center"/>
              <w:rPr>
                <w:sz w:val="24"/>
                <w:szCs w:val="24"/>
              </w:rPr>
            </w:pPr>
            <w:r>
              <w:rPr>
                <w:sz w:val="24"/>
                <w:szCs w:val="24"/>
              </w:rPr>
              <w:t>965</w:t>
            </w:r>
          </w:p>
        </w:tc>
        <w:tc>
          <w:tcPr>
            <w:tcW w:w="749" w:type="pct"/>
            <w:tcBorders>
              <w:top w:val="single" w:sz="4" w:space="0" w:color="000000"/>
              <w:left w:val="single" w:sz="4" w:space="0" w:color="000000"/>
              <w:bottom w:val="single" w:sz="4" w:space="0" w:color="000000"/>
            </w:tcBorders>
            <w:vAlign w:val="center"/>
          </w:tcPr>
          <w:p w:rsidR="001D6AFD" w:rsidRPr="0069351E" w:rsidRDefault="001D6AFD" w:rsidP="00812346">
            <w:pPr>
              <w:jc w:val="center"/>
              <w:rPr>
                <w:sz w:val="24"/>
                <w:szCs w:val="24"/>
              </w:rPr>
            </w:pPr>
            <w:r w:rsidRPr="0069351E">
              <w:rPr>
                <w:sz w:val="24"/>
                <w:szCs w:val="24"/>
              </w:rPr>
              <w:t>96</w:t>
            </w:r>
            <w:r>
              <w:rPr>
                <w:sz w:val="24"/>
                <w:szCs w:val="24"/>
              </w:rPr>
              <w:t>5</w:t>
            </w:r>
          </w:p>
        </w:tc>
        <w:tc>
          <w:tcPr>
            <w:tcW w:w="674" w:type="pct"/>
            <w:tcBorders>
              <w:top w:val="single" w:sz="4" w:space="0" w:color="000000"/>
              <w:left w:val="single" w:sz="4" w:space="0" w:color="000000"/>
              <w:bottom w:val="single" w:sz="4" w:space="0" w:color="000000"/>
              <w:right w:val="single" w:sz="4" w:space="0" w:color="000000"/>
            </w:tcBorders>
            <w:vAlign w:val="center"/>
          </w:tcPr>
          <w:p w:rsidR="001D6AFD" w:rsidRPr="0069351E" w:rsidRDefault="001D6AFD" w:rsidP="00812346">
            <w:pPr>
              <w:jc w:val="center"/>
              <w:rPr>
                <w:sz w:val="24"/>
                <w:szCs w:val="24"/>
              </w:rPr>
            </w:pPr>
            <w:r>
              <w:rPr>
                <w:sz w:val="24"/>
                <w:szCs w:val="24"/>
              </w:rPr>
              <w:t>972</w:t>
            </w:r>
          </w:p>
        </w:tc>
      </w:tr>
      <w:tr w:rsidR="001D6AFD" w:rsidRPr="0069351E" w:rsidTr="00B347E3">
        <w:trPr>
          <w:trHeight w:val="699"/>
        </w:trPr>
        <w:tc>
          <w:tcPr>
            <w:tcW w:w="1854" w:type="pct"/>
            <w:tcBorders>
              <w:top w:val="single" w:sz="4" w:space="0" w:color="000000"/>
              <w:left w:val="single" w:sz="4" w:space="0" w:color="000000"/>
              <w:bottom w:val="single" w:sz="4" w:space="0" w:color="000000"/>
            </w:tcBorders>
          </w:tcPr>
          <w:p w:rsidR="001D6AFD" w:rsidRPr="0069351E" w:rsidRDefault="001D6AFD" w:rsidP="00812346">
            <w:pPr>
              <w:rPr>
                <w:sz w:val="24"/>
                <w:szCs w:val="24"/>
              </w:rPr>
            </w:pPr>
            <w:r w:rsidRPr="0069351E">
              <w:rPr>
                <w:sz w:val="24"/>
                <w:szCs w:val="24"/>
              </w:rPr>
              <w:t>Охват дополнительным образованием детей в возрасте от 5 до 18 лет</w:t>
            </w:r>
          </w:p>
        </w:tc>
        <w:tc>
          <w:tcPr>
            <w:tcW w:w="1049" w:type="pct"/>
            <w:tcBorders>
              <w:top w:val="single" w:sz="4" w:space="0" w:color="000000"/>
              <w:left w:val="single" w:sz="4" w:space="0" w:color="000000"/>
              <w:bottom w:val="single" w:sz="4" w:space="0" w:color="000000"/>
              <w:right w:val="single" w:sz="4" w:space="0" w:color="000000"/>
            </w:tcBorders>
          </w:tcPr>
          <w:p w:rsidR="001D6AFD" w:rsidRPr="0069351E" w:rsidRDefault="001D6AFD" w:rsidP="00812346">
            <w:pPr>
              <w:jc w:val="center"/>
              <w:rPr>
                <w:sz w:val="24"/>
                <w:szCs w:val="24"/>
              </w:rPr>
            </w:pPr>
          </w:p>
          <w:p w:rsidR="001D6AFD" w:rsidRPr="0069351E" w:rsidRDefault="001D6AFD" w:rsidP="00812346">
            <w:pPr>
              <w:jc w:val="center"/>
              <w:rPr>
                <w:sz w:val="24"/>
                <w:szCs w:val="24"/>
              </w:rPr>
            </w:pPr>
            <w:r w:rsidRPr="0069351E">
              <w:rPr>
                <w:sz w:val="24"/>
                <w:szCs w:val="24"/>
              </w:rPr>
              <w:t>%</w:t>
            </w:r>
          </w:p>
        </w:tc>
        <w:tc>
          <w:tcPr>
            <w:tcW w:w="674" w:type="pct"/>
            <w:tcBorders>
              <w:top w:val="single" w:sz="4" w:space="0" w:color="000000"/>
              <w:left w:val="single" w:sz="4" w:space="0" w:color="000000"/>
              <w:bottom w:val="single" w:sz="4" w:space="0" w:color="000000"/>
            </w:tcBorders>
            <w:vAlign w:val="center"/>
          </w:tcPr>
          <w:p w:rsidR="001D6AFD" w:rsidRPr="0069351E" w:rsidRDefault="00BE2E1A" w:rsidP="00812346">
            <w:pPr>
              <w:jc w:val="center"/>
              <w:rPr>
                <w:sz w:val="24"/>
                <w:szCs w:val="24"/>
              </w:rPr>
            </w:pPr>
            <w:r>
              <w:rPr>
                <w:sz w:val="24"/>
                <w:szCs w:val="24"/>
              </w:rPr>
              <w:t>-</w:t>
            </w:r>
          </w:p>
        </w:tc>
        <w:tc>
          <w:tcPr>
            <w:tcW w:w="749" w:type="pct"/>
            <w:tcBorders>
              <w:top w:val="single" w:sz="4" w:space="0" w:color="000000"/>
              <w:left w:val="single" w:sz="4" w:space="0" w:color="000000"/>
              <w:bottom w:val="single" w:sz="4" w:space="0" w:color="000000"/>
            </w:tcBorders>
            <w:vAlign w:val="center"/>
          </w:tcPr>
          <w:p w:rsidR="001D6AFD" w:rsidRPr="0069351E" w:rsidRDefault="00BE2E1A" w:rsidP="00812346">
            <w:pPr>
              <w:jc w:val="center"/>
              <w:rPr>
                <w:sz w:val="24"/>
                <w:szCs w:val="24"/>
              </w:rPr>
            </w:pPr>
            <w:r>
              <w:rPr>
                <w:sz w:val="24"/>
                <w:szCs w:val="24"/>
              </w:rPr>
              <w:t>-</w:t>
            </w:r>
          </w:p>
        </w:tc>
        <w:tc>
          <w:tcPr>
            <w:tcW w:w="674" w:type="pct"/>
            <w:tcBorders>
              <w:top w:val="single" w:sz="4" w:space="0" w:color="000000"/>
              <w:left w:val="single" w:sz="4" w:space="0" w:color="000000"/>
              <w:bottom w:val="single" w:sz="4" w:space="0" w:color="000000"/>
              <w:right w:val="single" w:sz="4" w:space="0" w:color="000000"/>
            </w:tcBorders>
            <w:vAlign w:val="center"/>
          </w:tcPr>
          <w:p w:rsidR="001D6AFD" w:rsidRPr="0069351E" w:rsidRDefault="00BE2E1A" w:rsidP="00DF2C3B">
            <w:pPr>
              <w:jc w:val="center"/>
              <w:rPr>
                <w:sz w:val="24"/>
                <w:szCs w:val="24"/>
              </w:rPr>
            </w:pPr>
            <w:r>
              <w:rPr>
                <w:sz w:val="24"/>
                <w:szCs w:val="24"/>
              </w:rPr>
              <w:t>81,</w:t>
            </w:r>
            <w:r w:rsidR="00DF2C3B">
              <w:rPr>
                <w:sz w:val="24"/>
                <w:szCs w:val="24"/>
              </w:rPr>
              <w:t>3</w:t>
            </w:r>
          </w:p>
        </w:tc>
      </w:tr>
    </w:tbl>
    <w:p w:rsidR="00E153B5" w:rsidRDefault="00E153B5" w:rsidP="001D6AFD">
      <w:pPr>
        <w:pStyle w:val="aff1"/>
        <w:overflowPunct w:val="0"/>
        <w:autoSpaceDE w:val="0"/>
        <w:spacing w:line="276" w:lineRule="auto"/>
        <w:textAlignment w:val="baseline"/>
        <w:rPr>
          <w:sz w:val="24"/>
          <w:szCs w:val="24"/>
        </w:rPr>
      </w:pPr>
    </w:p>
    <w:p w:rsidR="001D6AFD" w:rsidRPr="00987331" w:rsidRDefault="001D6AFD" w:rsidP="001D6AFD">
      <w:pPr>
        <w:pStyle w:val="aff1"/>
        <w:overflowPunct w:val="0"/>
        <w:autoSpaceDE w:val="0"/>
        <w:spacing w:line="276" w:lineRule="auto"/>
        <w:textAlignment w:val="baseline"/>
        <w:rPr>
          <w:sz w:val="24"/>
          <w:szCs w:val="24"/>
        </w:rPr>
      </w:pPr>
      <w:r w:rsidRPr="002279F1">
        <w:rPr>
          <w:sz w:val="24"/>
          <w:szCs w:val="24"/>
        </w:rPr>
        <w:t>По оценке, обеспеченность дошкольными образовательными учреждениями в 2017 году составит 972 мест</w:t>
      </w:r>
      <w:r>
        <w:rPr>
          <w:sz w:val="24"/>
          <w:szCs w:val="24"/>
        </w:rPr>
        <w:t>а</w:t>
      </w:r>
      <w:r w:rsidRPr="002279F1">
        <w:rPr>
          <w:sz w:val="24"/>
          <w:szCs w:val="24"/>
        </w:rPr>
        <w:t xml:space="preserve"> на 1000 детей в возрасте 3-6 лет, что выше прогнозных значений показателя на 2017 год, рассчитанных </w:t>
      </w:r>
      <w:r w:rsidRPr="00987331">
        <w:rPr>
          <w:sz w:val="24"/>
          <w:szCs w:val="24"/>
        </w:rPr>
        <w:t>годом ранее</w:t>
      </w:r>
      <w:r>
        <w:rPr>
          <w:sz w:val="24"/>
          <w:szCs w:val="24"/>
        </w:rPr>
        <w:t>. Корректировка показателя объясняется тем, что фактические данные за 2016 год оказались выше, чем ожидались</w:t>
      </w:r>
      <w:r w:rsidR="004F1235">
        <w:rPr>
          <w:sz w:val="24"/>
          <w:szCs w:val="24"/>
        </w:rPr>
        <w:t xml:space="preserve"> годом </w:t>
      </w:r>
      <w:r>
        <w:rPr>
          <w:sz w:val="24"/>
          <w:szCs w:val="24"/>
        </w:rPr>
        <w:t xml:space="preserve">ранее. </w:t>
      </w:r>
      <w:r w:rsidR="004F1235">
        <w:rPr>
          <w:color w:val="000000"/>
          <w:sz w:val="24"/>
          <w:szCs w:val="24"/>
        </w:rPr>
        <w:t xml:space="preserve">Тем не менее, </w:t>
      </w:r>
      <w:r w:rsidRPr="00987331">
        <w:rPr>
          <w:sz w:val="24"/>
          <w:szCs w:val="24"/>
        </w:rPr>
        <w:t>обеспеченност</w:t>
      </w:r>
      <w:r w:rsidR="004F1235">
        <w:rPr>
          <w:sz w:val="24"/>
          <w:szCs w:val="24"/>
        </w:rPr>
        <w:t>ь</w:t>
      </w:r>
      <w:r w:rsidRPr="00987331">
        <w:rPr>
          <w:sz w:val="24"/>
          <w:szCs w:val="24"/>
        </w:rPr>
        <w:t xml:space="preserve"> дошкольными образовательными учреждениями в 2017 году </w:t>
      </w:r>
      <w:r w:rsidR="004F1235">
        <w:rPr>
          <w:sz w:val="24"/>
          <w:szCs w:val="24"/>
        </w:rPr>
        <w:t>оценочно снизится к уровню 2016 года за счёт увеличения  численности детей в возрасте 3-6 лет на 800 человек</w:t>
      </w:r>
      <w:r w:rsidR="00933690">
        <w:rPr>
          <w:sz w:val="24"/>
          <w:szCs w:val="24"/>
        </w:rPr>
        <w:t xml:space="preserve"> </w:t>
      </w:r>
      <w:r w:rsidR="004F1235">
        <w:rPr>
          <w:sz w:val="24"/>
          <w:szCs w:val="24"/>
        </w:rPr>
        <w:t>(знаменатель)</w:t>
      </w:r>
      <w:r w:rsidRPr="00987331">
        <w:rPr>
          <w:sz w:val="24"/>
          <w:szCs w:val="24"/>
        </w:rPr>
        <w:t>.</w:t>
      </w:r>
    </w:p>
    <w:p w:rsidR="001D6AFD" w:rsidRPr="002279F1" w:rsidRDefault="004F1235" w:rsidP="004F1235">
      <w:pPr>
        <w:spacing w:line="276" w:lineRule="auto"/>
        <w:ind w:firstLine="709"/>
        <w:jc w:val="both"/>
        <w:rPr>
          <w:sz w:val="24"/>
          <w:szCs w:val="24"/>
        </w:rPr>
      </w:pPr>
      <w:r>
        <w:rPr>
          <w:sz w:val="24"/>
          <w:szCs w:val="24"/>
        </w:rPr>
        <w:t>О</w:t>
      </w:r>
      <w:r w:rsidRPr="003702A1">
        <w:rPr>
          <w:sz w:val="24"/>
          <w:szCs w:val="24"/>
        </w:rPr>
        <w:t>хват дополнительным образованием детей в возрасте от 5 до 18 лет в 2017 году, по оценке, составит</w:t>
      </w:r>
      <w:r>
        <w:rPr>
          <w:sz w:val="24"/>
          <w:szCs w:val="24"/>
        </w:rPr>
        <w:t xml:space="preserve"> 81,</w:t>
      </w:r>
      <w:r w:rsidR="00DF2C3B">
        <w:rPr>
          <w:sz w:val="24"/>
          <w:szCs w:val="24"/>
        </w:rPr>
        <w:t>3</w:t>
      </w:r>
      <w:r>
        <w:rPr>
          <w:sz w:val="24"/>
          <w:szCs w:val="24"/>
        </w:rPr>
        <w:t xml:space="preserve"> %. </w:t>
      </w:r>
      <w:r w:rsidR="001D6AFD" w:rsidRPr="002279F1">
        <w:rPr>
          <w:sz w:val="24"/>
          <w:szCs w:val="24"/>
        </w:rPr>
        <w:t xml:space="preserve">Оценочное значение показателя  на 2017 год рассчитано с учетом детей, занятых в учреждениях дополнительного образования </w:t>
      </w:r>
      <w:r w:rsidR="001D6AFD">
        <w:rPr>
          <w:sz w:val="24"/>
          <w:szCs w:val="24"/>
        </w:rPr>
        <w:t>культуры и физкультуры и спорта, тогда как годом ранее прогноз осуществлялся только в отношении учреждений образования.</w:t>
      </w:r>
    </w:p>
    <w:p w:rsidR="000E5757" w:rsidRDefault="000E5757" w:rsidP="00F94E15">
      <w:pPr>
        <w:tabs>
          <w:tab w:val="left" w:pos="7485"/>
        </w:tabs>
        <w:overflowPunct w:val="0"/>
        <w:autoSpaceDE w:val="0"/>
        <w:spacing w:line="276" w:lineRule="auto"/>
        <w:jc w:val="center"/>
        <w:textAlignment w:val="baseline"/>
        <w:rPr>
          <w:b/>
          <w:sz w:val="24"/>
          <w:szCs w:val="24"/>
        </w:rPr>
      </w:pPr>
    </w:p>
    <w:p w:rsidR="00A50BA4" w:rsidRDefault="00A50BA4" w:rsidP="00F94E15">
      <w:pPr>
        <w:tabs>
          <w:tab w:val="left" w:pos="7485"/>
        </w:tabs>
        <w:overflowPunct w:val="0"/>
        <w:autoSpaceDE w:val="0"/>
        <w:spacing w:line="276" w:lineRule="auto"/>
        <w:jc w:val="center"/>
        <w:textAlignment w:val="baseline"/>
        <w:rPr>
          <w:b/>
          <w:sz w:val="24"/>
          <w:szCs w:val="24"/>
        </w:rPr>
      </w:pPr>
      <w:r w:rsidRPr="00A31DC0">
        <w:rPr>
          <w:b/>
          <w:sz w:val="24"/>
          <w:szCs w:val="24"/>
        </w:rPr>
        <w:t>Культура</w:t>
      </w:r>
    </w:p>
    <w:p w:rsidR="000E5757" w:rsidRPr="00A31DC0" w:rsidRDefault="000E5757" w:rsidP="00F94E15">
      <w:pPr>
        <w:tabs>
          <w:tab w:val="left" w:pos="7485"/>
        </w:tabs>
        <w:overflowPunct w:val="0"/>
        <w:autoSpaceDE w:val="0"/>
        <w:spacing w:line="276" w:lineRule="auto"/>
        <w:jc w:val="center"/>
        <w:textAlignment w:val="baseline"/>
        <w:rPr>
          <w:b/>
          <w:sz w:val="24"/>
          <w:szCs w:val="24"/>
        </w:rPr>
      </w:pPr>
    </w:p>
    <w:p w:rsidR="00A65FD4" w:rsidRDefault="00A65FD4" w:rsidP="00A65FD4">
      <w:pPr>
        <w:spacing w:line="276" w:lineRule="auto"/>
        <w:ind w:firstLine="709"/>
        <w:jc w:val="both"/>
        <w:rPr>
          <w:sz w:val="24"/>
          <w:szCs w:val="24"/>
        </w:rPr>
      </w:pPr>
      <w:r w:rsidRPr="0076205A">
        <w:rPr>
          <w:sz w:val="24"/>
          <w:szCs w:val="24"/>
        </w:rPr>
        <w:t xml:space="preserve">По состоянию на </w:t>
      </w:r>
      <w:r>
        <w:rPr>
          <w:sz w:val="24"/>
          <w:szCs w:val="24"/>
        </w:rPr>
        <w:t>01</w:t>
      </w:r>
      <w:r w:rsidRPr="0076205A">
        <w:rPr>
          <w:sz w:val="24"/>
          <w:szCs w:val="24"/>
        </w:rPr>
        <w:t>.0</w:t>
      </w:r>
      <w:r>
        <w:rPr>
          <w:sz w:val="24"/>
          <w:szCs w:val="24"/>
        </w:rPr>
        <w:t>7</w:t>
      </w:r>
      <w:r w:rsidRPr="0076205A">
        <w:rPr>
          <w:sz w:val="24"/>
          <w:szCs w:val="24"/>
        </w:rPr>
        <w:t xml:space="preserve">.2017 г. в сфере культуры на территории городского округа Тольятти функционируют следующие учреждения: </w:t>
      </w:r>
    </w:p>
    <w:p w:rsidR="00A65FD4" w:rsidRPr="0017481B" w:rsidRDefault="00A65FD4" w:rsidP="00A65FD4">
      <w:pPr>
        <w:pStyle w:val="aff1"/>
        <w:spacing w:line="276" w:lineRule="auto"/>
        <w:rPr>
          <w:sz w:val="24"/>
          <w:szCs w:val="24"/>
        </w:rPr>
      </w:pPr>
      <w:r w:rsidRPr="0017481B">
        <w:rPr>
          <w:sz w:val="24"/>
          <w:szCs w:val="24"/>
        </w:rPr>
        <w:t xml:space="preserve">- 3 муниципальных учреждения культурно-досугового типа; </w:t>
      </w:r>
      <w:r>
        <w:rPr>
          <w:sz w:val="24"/>
          <w:szCs w:val="24"/>
        </w:rPr>
        <w:t>61</w:t>
      </w:r>
      <w:r w:rsidRPr="0017481B">
        <w:rPr>
          <w:sz w:val="24"/>
          <w:szCs w:val="24"/>
        </w:rPr>
        <w:t xml:space="preserve"> муниципальн</w:t>
      </w:r>
      <w:r>
        <w:rPr>
          <w:sz w:val="24"/>
          <w:szCs w:val="24"/>
        </w:rPr>
        <w:t>ая</w:t>
      </w:r>
      <w:r w:rsidRPr="0017481B">
        <w:rPr>
          <w:sz w:val="24"/>
          <w:szCs w:val="24"/>
        </w:rPr>
        <w:t xml:space="preserve"> библиотек</w:t>
      </w:r>
      <w:r>
        <w:rPr>
          <w:sz w:val="24"/>
          <w:szCs w:val="24"/>
        </w:rPr>
        <w:t>а</w:t>
      </w:r>
      <w:r w:rsidRPr="0017481B">
        <w:rPr>
          <w:sz w:val="24"/>
          <w:szCs w:val="24"/>
        </w:rPr>
        <w:t xml:space="preserve">; 3 муниципальных музея; 4 муниципальных театра; 1 муниципальная концертная организация (Тольяттинская Филармония); 16 муниципальных образовательных учреждений дополнительного образования детей; 1 муниципальное учреждение высшего профессионального образования </w:t>
      </w:r>
      <w:r>
        <w:rPr>
          <w:sz w:val="24"/>
          <w:szCs w:val="24"/>
        </w:rPr>
        <w:t>–</w:t>
      </w:r>
      <w:r w:rsidRPr="0017481B">
        <w:rPr>
          <w:sz w:val="24"/>
          <w:szCs w:val="24"/>
        </w:rPr>
        <w:t xml:space="preserve"> Тольяттинская</w:t>
      </w:r>
      <w:r>
        <w:rPr>
          <w:sz w:val="24"/>
          <w:szCs w:val="24"/>
        </w:rPr>
        <w:t xml:space="preserve"> консерватория</w:t>
      </w:r>
      <w:r w:rsidRPr="0017481B">
        <w:rPr>
          <w:sz w:val="24"/>
          <w:szCs w:val="24"/>
        </w:rPr>
        <w:t>, 1 парк (МАУК «Парковый комплекс истории техники имени К.С. Сахарова</w:t>
      </w:r>
      <w:r>
        <w:rPr>
          <w:sz w:val="24"/>
          <w:szCs w:val="24"/>
        </w:rPr>
        <w:t>»</w:t>
      </w:r>
      <w:r w:rsidRPr="0017481B">
        <w:rPr>
          <w:sz w:val="24"/>
          <w:szCs w:val="24"/>
        </w:rPr>
        <w:t>).</w:t>
      </w:r>
    </w:p>
    <w:p w:rsidR="00A65FD4" w:rsidRPr="0076205A" w:rsidRDefault="00A65FD4" w:rsidP="00A65FD4">
      <w:pPr>
        <w:spacing w:line="276" w:lineRule="auto"/>
        <w:ind w:firstLine="709"/>
        <w:jc w:val="both"/>
        <w:rPr>
          <w:sz w:val="24"/>
          <w:szCs w:val="24"/>
        </w:rPr>
      </w:pPr>
      <w:r w:rsidRPr="0076205A">
        <w:rPr>
          <w:sz w:val="24"/>
          <w:szCs w:val="24"/>
        </w:rPr>
        <w:t xml:space="preserve">Согласно данным форм федерального государственного статистического наблюдения № 6-НК «Сведения об общедоступной (публичной) библиотеке» количество общедоступных библиотек по итогам 2016 года на территории городского округа Тольятти составляло 61 единицу. Обеспеченность общедоступными библиотеками – 0,86  учреждений на 10 тыс. населения. </w:t>
      </w:r>
    </w:p>
    <w:p w:rsidR="00A65FD4" w:rsidRDefault="00A65FD4" w:rsidP="00A65FD4">
      <w:pPr>
        <w:spacing w:line="276" w:lineRule="auto"/>
        <w:ind w:firstLine="709"/>
        <w:jc w:val="both"/>
        <w:rPr>
          <w:sz w:val="24"/>
          <w:szCs w:val="24"/>
        </w:rPr>
      </w:pPr>
      <w:r w:rsidRPr="0076205A">
        <w:rPr>
          <w:sz w:val="24"/>
          <w:szCs w:val="24"/>
        </w:rPr>
        <w:t>В 2016 году в связи с закрытием 3 библиотек МБУК «Библиотека Автограда», расположенных ранее на базе предприятий, произошло уменьшение количества библиотек до 59 единиц, но открытие новых библиотек на площадях, находящихся в муниципальной собственности, позволили стабилизировать значение данного показателя к концу 201</w:t>
      </w:r>
      <w:r w:rsidR="0010299D">
        <w:rPr>
          <w:sz w:val="24"/>
          <w:szCs w:val="24"/>
        </w:rPr>
        <w:t>6</w:t>
      </w:r>
      <w:r w:rsidRPr="0076205A">
        <w:rPr>
          <w:sz w:val="24"/>
          <w:szCs w:val="24"/>
        </w:rPr>
        <w:t xml:space="preserve"> года до 61 единицы. При этом было обеспечено сохранение единиц книжных фондов и количества читателей.</w:t>
      </w:r>
    </w:p>
    <w:p w:rsidR="00A65FD4" w:rsidRPr="00C10246" w:rsidRDefault="00A65FD4" w:rsidP="00A65FD4">
      <w:pPr>
        <w:spacing w:line="276" w:lineRule="auto"/>
        <w:ind w:firstLine="709"/>
        <w:jc w:val="both"/>
        <w:rPr>
          <w:sz w:val="24"/>
          <w:szCs w:val="24"/>
        </w:rPr>
      </w:pPr>
      <w:r w:rsidRPr="00C10246">
        <w:rPr>
          <w:sz w:val="24"/>
          <w:szCs w:val="24"/>
        </w:rPr>
        <w:t>В 2017 году обеспеченность общедоступными библиотеками соответствует уровню 2016 года -</w:t>
      </w:r>
      <w:r>
        <w:rPr>
          <w:sz w:val="24"/>
          <w:szCs w:val="24"/>
        </w:rPr>
        <w:t xml:space="preserve"> </w:t>
      </w:r>
      <w:r w:rsidRPr="00C10246">
        <w:rPr>
          <w:sz w:val="24"/>
          <w:szCs w:val="24"/>
        </w:rPr>
        <w:t xml:space="preserve">0,86 учреждений на 10 тыс. населения. </w:t>
      </w:r>
    </w:p>
    <w:p w:rsidR="00A65FD4" w:rsidRPr="00BA4935" w:rsidRDefault="00A65FD4" w:rsidP="00A65FD4">
      <w:pPr>
        <w:pStyle w:val="36"/>
        <w:spacing w:after="0" w:line="276" w:lineRule="auto"/>
        <w:ind w:left="0" w:firstLine="709"/>
        <w:jc w:val="both"/>
        <w:rPr>
          <w:szCs w:val="24"/>
        </w:rPr>
      </w:pPr>
      <w:r w:rsidRPr="0076205A">
        <w:rPr>
          <w:szCs w:val="24"/>
        </w:rPr>
        <w:t xml:space="preserve">Согласно данным форм федерального государственного статистического наблюдения № 7-НК «Сведения об учреждении культурно-досугового типа» количество учреждений культурно-досугового типа по итогам 2016 года </w:t>
      </w:r>
      <w:r w:rsidRPr="00BA4935">
        <w:rPr>
          <w:szCs w:val="24"/>
        </w:rPr>
        <w:t xml:space="preserve">уменьшилось до 5 единиц: 1 муниципальное бюджетное  учреждение (МБУК «ДЦ «Русич»), 2 муниципальных автономных учреждения  (МАУ КДЦ «Буревестник», МАУ «ДКИТ»), 2 организации иных форм собственности (ОАО ДК «Тольятти» им. Н.В. Абрамова, НУ ЦО "Тольяттиазот»), что повлекло снижение показателя обеспеченности учреждениями культурно-досугового типа до 0,07 учреждений на 10 тыс. населения. </w:t>
      </w:r>
    </w:p>
    <w:p w:rsidR="00A65FD4" w:rsidRDefault="00A65FD4" w:rsidP="00A65FD4">
      <w:pPr>
        <w:pStyle w:val="36"/>
        <w:spacing w:after="0" w:line="276" w:lineRule="auto"/>
        <w:ind w:left="0" w:firstLine="709"/>
        <w:jc w:val="both"/>
        <w:rPr>
          <w:szCs w:val="24"/>
        </w:rPr>
      </w:pPr>
      <w:r>
        <w:rPr>
          <w:szCs w:val="24"/>
        </w:rPr>
        <w:t>В</w:t>
      </w:r>
      <w:r w:rsidRPr="0076205A">
        <w:rPr>
          <w:szCs w:val="24"/>
        </w:rPr>
        <w:t xml:space="preserve"> 2017 год</w:t>
      </w:r>
      <w:r>
        <w:rPr>
          <w:szCs w:val="24"/>
        </w:rPr>
        <w:t>у</w:t>
      </w:r>
      <w:r w:rsidRPr="0076205A">
        <w:rPr>
          <w:szCs w:val="24"/>
        </w:rPr>
        <w:t xml:space="preserve"> наблюдается сохранение обеспеченности учреждениями культурно-досугового типа на достигнутом уровне (0,07 учреждений на 10 тыс. населения).</w:t>
      </w:r>
    </w:p>
    <w:p w:rsidR="00E153B5" w:rsidRDefault="00E153B5" w:rsidP="00A65FD4">
      <w:pPr>
        <w:keepNext/>
        <w:keepLines/>
        <w:spacing w:line="276" w:lineRule="auto"/>
        <w:jc w:val="center"/>
        <w:rPr>
          <w:sz w:val="24"/>
          <w:szCs w:val="24"/>
        </w:rPr>
      </w:pPr>
    </w:p>
    <w:p w:rsidR="00A65FD4" w:rsidRDefault="00A65FD4" w:rsidP="00A65FD4">
      <w:pPr>
        <w:keepNext/>
        <w:keepLines/>
        <w:spacing w:line="276" w:lineRule="auto"/>
        <w:jc w:val="center"/>
        <w:rPr>
          <w:sz w:val="24"/>
          <w:szCs w:val="24"/>
        </w:rPr>
      </w:pPr>
      <w:r w:rsidRPr="00E11173">
        <w:rPr>
          <w:sz w:val="24"/>
          <w:szCs w:val="24"/>
        </w:rPr>
        <w:t>Ожидаемое выполнение прогнозных показателей по разделу «Культура» на 2017 год</w:t>
      </w:r>
    </w:p>
    <w:p w:rsidR="00355505" w:rsidRPr="00E11173" w:rsidRDefault="00355505" w:rsidP="00A65FD4">
      <w:pPr>
        <w:keepNext/>
        <w:keepLines/>
        <w:spacing w:line="276" w:lineRule="auto"/>
        <w:jc w:val="center"/>
        <w:rPr>
          <w:sz w:val="24"/>
          <w:szCs w:val="24"/>
        </w:rPr>
      </w:pPr>
    </w:p>
    <w:tbl>
      <w:tblPr>
        <w:tblW w:w="9356" w:type="dxa"/>
        <w:tblInd w:w="108" w:type="dxa"/>
        <w:tblLayout w:type="fixed"/>
        <w:tblLook w:val="0000" w:firstRow="0" w:lastRow="0" w:firstColumn="0" w:lastColumn="0" w:noHBand="0" w:noVBand="0"/>
      </w:tblPr>
      <w:tblGrid>
        <w:gridCol w:w="2977"/>
        <w:gridCol w:w="2134"/>
        <w:gridCol w:w="1424"/>
        <w:gridCol w:w="1390"/>
        <w:gridCol w:w="1431"/>
      </w:tblGrid>
      <w:tr w:rsidR="00A65FD4" w:rsidRPr="00E11173" w:rsidTr="00A65FD4">
        <w:trPr>
          <w:cantSplit/>
          <w:trHeight w:val="195"/>
        </w:trPr>
        <w:tc>
          <w:tcPr>
            <w:tcW w:w="2977" w:type="dxa"/>
            <w:vMerge w:val="restart"/>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Показатели</w:t>
            </w:r>
          </w:p>
        </w:tc>
        <w:tc>
          <w:tcPr>
            <w:tcW w:w="2134" w:type="dxa"/>
            <w:vMerge w:val="restart"/>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Ед. изм.</w:t>
            </w:r>
          </w:p>
        </w:tc>
        <w:tc>
          <w:tcPr>
            <w:tcW w:w="2814" w:type="dxa"/>
            <w:gridSpan w:val="2"/>
            <w:tcBorders>
              <w:top w:val="single" w:sz="4" w:space="0" w:color="000000"/>
              <w:left w:val="single" w:sz="4" w:space="0" w:color="000000"/>
              <w:bottom w:val="single" w:sz="4" w:space="0" w:color="000000"/>
            </w:tcBorders>
          </w:tcPr>
          <w:p w:rsidR="00A65FD4" w:rsidRPr="00E11173" w:rsidRDefault="00A65FD4" w:rsidP="00A65FD4">
            <w:pPr>
              <w:jc w:val="center"/>
              <w:rPr>
                <w:sz w:val="24"/>
                <w:szCs w:val="24"/>
              </w:rPr>
            </w:pPr>
            <w:r w:rsidRPr="00E11173">
              <w:rPr>
                <w:sz w:val="24"/>
                <w:szCs w:val="24"/>
              </w:rPr>
              <w:t>Прогноз на 2017 год</w:t>
            </w:r>
          </w:p>
        </w:tc>
        <w:tc>
          <w:tcPr>
            <w:tcW w:w="1431" w:type="dxa"/>
            <w:vMerge w:val="restart"/>
            <w:tcBorders>
              <w:top w:val="single" w:sz="4" w:space="0" w:color="000000"/>
              <w:left w:val="single" w:sz="4" w:space="0" w:color="000000"/>
              <w:bottom w:val="single" w:sz="4" w:space="0" w:color="000000"/>
              <w:right w:val="single" w:sz="4" w:space="0" w:color="000000"/>
            </w:tcBorders>
          </w:tcPr>
          <w:p w:rsidR="00A65FD4" w:rsidRPr="00E11173" w:rsidRDefault="00A65FD4" w:rsidP="00A65FD4">
            <w:pPr>
              <w:jc w:val="center"/>
              <w:rPr>
                <w:sz w:val="24"/>
                <w:szCs w:val="24"/>
              </w:rPr>
            </w:pPr>
            <w:r w:rsidRPr="00E11173">
              <w:rPr>
                <w:sz w:val="24"/>
                <w:szCs w:val="24"/>
              </w:rPr>
              <w:t>2017 год (оценка)</w:t>
            </w:r>
          </w:p>
        </w:tc>
      </w:tr>
      <w:tr w:rsidR="00A65FD4" w:rsidRPr="00E11173" w:rsidTr="00A65FD4">
        <w:trPr>
          <w:cantSplit/>
          <w:trHeight w:val="195"/>
        </w:trPr>
        <w:tc>
          <w:tcPr>
            <w:tcW w:w="2977" w:type="dxa"/>
            <w:vMerge/>
            <w:tcBorders>
              <w:top w:val="single" w:sz="4" w:space="0" w:color="000000"/>
              <w:left w:val="single" w:sz="4" w:space="0" w:color="000000"/>
              <w:bottom w:val="single" w:sz="4" w:space="0" w:color="000000"/>
            </w:tcBorders>
          </w:tcPr>
          <w:p w:rsidR="00A65FD4" w:rsidRPr="00E11173" w:rsidRDefault="00A65FD4" w:rsidP="00A65FD4">
            <w:pPr>
              <w:pStyle w:val="321"/>
              <w:keepNext/>
              <w:keepLines/>
              <w:snapToGrid w:val="0"/>
              <w:spacing w:after="0" w:line="276" w:lineRule="auto"/>
              <w:ind w:left="0"/>
              <w:rPr>
                <w:sz w:val="24"/>
                <w:szCs w:val="24"/>
              </w:rPr>
            </w:pPr>
          </w:p>
        </w:tc>
        <w:tc>
          <w:tcPr>
            <w:tcW w:w="2134" w:type="dxa"/>
            <w:vMerge/>
            <w:tcBorders>
              <w:top w:val="single" w:sz="4" w:space="0" w:color="000000"/>
              <w:left w:val="single" w:sz="4" w:space="0" w:color="000000"/>
              <w:bottom w:val="single" w:sz="4" w:space="0" w:color="000000"/>
            </w:tcBorders>
          </w:tcPr>
          <w:p w:rsidR="00A65FD4" w:rsidRPr="00E11173" w:rsidRDefault="00A65FD4" w:rsidP="00A65FD4">
            <w:pPr>
              <w:pStyle w:val="321"/>
              <w:keepNext/>
              <w:keepLines/>
              <w:snapToGrid w:val="0"/>
              <w:spacing w:after="0" w:line="276" w:lineRule="auto"/>
              <w:ind w:left="0"/>
              <w:rPr>
                <w:sz w:val="24"/>
                <w:szCs w:val="24"/>
              </w:rPr>
            </w:pPr>
          </w:p>
        </w:tc>
        <w:tc>
          <w:tcPr>
            <w:tcW w:w="1424" w:type="dxa"/>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1 вариант</w:t>
            </w:r>
          </w:p>
        </w:tc>
        <w:tc>
          <w:tcPr>
            <w:tcW w:w="1390" w:type="dxa"/>
            <w:tcBorders>
              <w:top w:val="single" w:sz="4" w:space="0" w:color="000000"/>
              <w:left w:val="single" w:sz="4" w:space="0" w:color="000000"/>
              <w:bottom w:val="single" w:sz="4" w:space="0" w:color="000000"/>
            </w:tcBorders>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2 вариант</w:t>
            </w:r>
          </w:p>
        </w:tc>
        <w:tc>
          <w:tcPr>
            <w:tcW w:w="1431" w:type="dxa"/>
            <w:vMerge/>
            <w:tcBorders>
              <w:top w:val="single" w:sz="4" w:space="0" w:color="000000"/>
              <w:left w:val="single" w:sz="4" w:space="0" w:color="000000"/>
              <w:bottom w:val="single" w:sz="4" w:space="0" w:color="000000"/>
              <w:right w:val="single" w:sz="4" w:space="0" w:color="000000"/>
            </w:tcBorders>
          </w:tcPr>
          <w:p w:rsidR="00A65FD4" w:rsidRPr="00E11173" w:rsidRDefault="00A65FD4" w:rsidP="00A65FD4">
            <w:pPr>
              <w:pStyle w:val="321"/>
              <w:keepNext/>
              <w:keepLines/>
              <w:snapToGrid w:val="0"/>
              <w:spacing w:after="0" w:line="276" w:lineRule="auto"/>
              <w:ind w:left="0"/>
              <w:rPr>
                <w:sz w:val="24"/>
                <w:szCs w:val="24"/>
              </w:rPr>
            </w:pPr>
          </w:p>
        </w:tc>
      </w:tr>
      <w:tr w:rsidR="00A65FD4" w:rsidRPr="00E11173" w:rsidTr="00A65FD4">
        <w:trPr>
          <w:trHeight w:val="746"/>
        </w:trPr>
        <w:tc>
          <w:tcPr>
            <w:tcW w:w="2977" w:type="dxa"/>
            <w:tcBorders>
              <w:top w:val="single" w:sz="4" w:space="0" w:color="000000"/>
              <w:left w:val="single" w:sz="4" w:space="0" w:color="000000"/>
              <w:bottom w:val="single" w:sz="4" w:space="0" w:color="000000"/>
            </w:tcBorders>
          </w:tcPr>
          <w:p w:rsidR="00A65FD4" w:rsidRPr="00E11173" w:rsidRDefault="00A65FD4" w:rsidP="00A65FD4">
            <w:pPr>
              <w:pStyle w:val="321"/>
              <w:keepNext/>
              <w:keepLines/>
              <w:spacing w:after="0"/>
              <w:ind w:left="0"/>
              <w:rPr>
                <w:sz w:val="24"/>
                <w:szCs w:val="24"/>
              </w:rPr>
            </w:pPr>
            <w:r w:rsidRPr="00E11173">
              <w:rPr>
                <w:sz w:val="24"/>
                <w:szCs w:val="24"/>
              </w:rPr>
              <w:t>Обеспеченность:</w:t>
            </w:r>
          </w:p>
          <w:p w:rsidR="00A65FD4" w:rsidRPr="00E11173" w:rsidRDefault="00A65FD4" w:rsidP="00A65FD4">
            <w:pPr>
              <w:pStyle w:val="321"/>
              <w:keepNext/>
              <w:keepLines/>
              <w:spacing w:after="0"/>
              <w:ind w:left="0"/>
              <w:rPr>
                <w:sz w:val="24"/>
                <w:szCs w:val="24"/>
              </w:rPr>
            </w:pPr>
            <w:r w:rsidRPr="00E11173">
              <w:rPr>
                <w:sz w:val="24"/>
                <w:szCs w:val="24"/>
              </w:rPr>
              <w:t>Общедоступными библиотеками</w:t>
            </w:r>
          </w:p>
        </w:tc>
        <w:tc>
          <w:tcPr>
            <w:tcW w:w="2134" w:type="dxa"/>
            <w:tcBorders>
              <w:top w:val="single" w:sz="4" w:space="0" w:color="000000"/>
              <w:left w:val="single" w:sz="4" w:space="0" w:color="000000"/>
              <w:bottom w:val="single" w:sz="4" w:space="0" w:color="000000"/>
            </w:tcBorders>
          </w:tcPr>
          <w:p w:rsidR="00A65FD4" w:rsidRPr="00E11173" w:rsidRDefault="00A65FD4" w:rsidP="00A65FD4">
            <w:pPr>
              <w:pStyle w:val="321"/>
              <w:keepNext/>
              <w:keepLines/>
              <w:snapToGrid w:val="0"/>
              <w:spacing w:after="0"/>
              <w:ind w:left="0"/>
              <w:jc w:val="center"/>
              <w:rPr>
                <w:sz w:val="24"/>
                <w:szCs w:val="24"/>
              </w:rPr>
            </w:pPr>
          </w:p>
          <w:p w:rsidR="00A65FD4" w:rsidRPr="00E11173" w:rsidRDefault="00A65FD4" w:rsidP="00A65FD4">
            <w:pPr>
              <w:pStyle w:val="321"/>
              <w:keepNext/>
              <w:keepLines/>
              <w:spacing w:after="0"/>
              <w:ind w:left="0"/>
              <w:jc w:val="center"/>
              <w:rPr>
                <w:sz w:val="24"/>
                <w:szCs w:val="24"/>
              </w:rPr>
            </w:pPr>
            <w:r w:rsidRPr="00E11173">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napToGrid w:val="0"/>
              <w:spacing w:after="0" w:line="276" w:lineRule="auto"/>
              <w:ind w:left="0"/>
              <w:jc w:val="center"/>
              <w:rPr>
                <w:sz w:val="24"/>
                <w:szCs w:val="24"/>
              </w:rPr>
            </w:pPr>
          </w:p>
          <w:p w:rsidR="00A65FD4" w:rsidRPr="00E11173" w:rsidRDefault="00A65FD4" w:rsidP="00A65FD4">
            <w:pPr>
              <w:pStyle w:val="321"/>
              <w:keepNext/>
              <w:keepLines/>
              <w:spacing w:after="0" w:line="276" w:lineRule="auto"/>
              <w:ind w:left="0"/>
              <w:jc w:val="center"/>
              <w:rPr>
                <w:sz w:val="24"/>
                <w:szCs w:val="24"/>
              </w:rPr>
            </w:pPr>
            <w:r w:rsidRPr="00E11173">
              <w:rPr>
                <w:sz w:val="24"/>
                <w:szCs w:val="24"/>
              </w:rPr>
              <w:t>0,86</w:t>
            </w:r>
          </w:p>
        </w:tc>
        <w:tc>
          <w:tcPr>
            <w:tcW w:w="1390" w:type="dxa"/>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napToGrid w:val="0"/>
              <w:spacing w:after="0" w:line="276" w:lineRule="auto"/>
              <w:ind w:left="0"/>
              <w:jc w:val="center"/>
              <w:rPr>
                <w:sz w:val="24"/>
                <w:szCs w:val="24"/>
              </w:rPr>
            </w:pPr>
          </w:p>
          <w:p w:rsidR="00A65FD4" w:rsidRPr="00E11173" w:rsidRDefault="00A65FD4" w:rsidP="00A65FD4">
            <w:pPr>
              <w:pStyle w:val="321"/>
              <w:keepNext/>
              <w:keepLines/>
              <w:spacing w:after="0" w:line="276" w:lineRule="auto"/>
              <w:ind w:left="0"/>
              <w:jc w:val="center"/>
              <w:rPr>
                <w:sz w:val="24"/>
                <w:szCs w:val="24"/>
              </w:rPr>
            </w:pPr>
            <w:r w:rsidRPr="00E11173">
              <w:rPr>
                <w:sz w:val="24"/>
                <w:szCs w:val="24"/>
              </w:rPr>
              <w:t>0,86</w:t>
            </w:r>
          </w:p>
        </w:tc>
        <w:tc>
          <w:tcPr>
            <w:tcW w:w="1431" w:type="dxa"/>
            <w:tcBorders>
              <w:top w:val="single" w:sz="4" w:space="0" w:color="000000"/>
              <w:left w:val="single" w:sz="4" w:space="0" w:color="000000"/>
              <w:bottom w:val="single" w:sz="4" w:space="0" w:color="000000"/>
              <w:right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p>
          <w:p w:rsidR="00A65FD4" w:rsidRPr="00E11173" w:rsidRDefault="00A65FD4" w:rsidP="00A65FD4">
            <w:pPr>
              <w:pStyle w:val="321"/>
              <w:keepNext/>
              <w:keepLines/>
              <w:spacing w:after="0" w:line="276" w:lineRule="auto"/>
              <w:ind w:left="0"/>
              <w:jc w:val="center"/>
              <w:rPr>
                <w:sz w:val="24"/>
                <w:szCs w:val="24"/>
              </w:rPr>
            </w:pPr>
            <w:r w:rsidRPr="00E11173">
              <w:rPr>
                <w:sz w:val="24"/>
                <w:szCs w:val="24"/>
              </w:rPr>
              <w:t>0,86</w:t>
            </w:r>
          </w:p>
        </w:tc>
      </w:tr>
      <w:tr w:rsidR="00A65FD4" w:rsidRPr="00E11173" w:rsidTr="00A65FD4">
        <w:tc>
          <w:tcPr>
            <w:tcW w:w="2977" w:type="dxa"/>
            <w:tcBorders>
              <w:top w:val="single" w:sz="4" w:space="0" w:color="000000"/>
              <w:left w:val="single" w:sz="4" w:space="0" w:color="000000"/>
              <w:bottom w:val="single" w:sz="4" w:space="0" w:color="000000"/>
            </w:tcBorders>
          </w:tcPr>
          <w:p w:rsidR="00A65FD4" w:rsidRPr="00E11173" w:rsidRDefault="00A65FD4" w:rsidP="00A65FD4">
            <w:pPr>
              <w:pStyle w:val="321"/>
              <w:keepNext/>
              <w:keepLines/>
              <w:spacing w:after="0"/>
              <w:ind w:left="0"/>
              <w:rPr>
                <w:sz w:val="24"/>
                <w:szCs w:val="24"/>
              </w:rPr>
            </w:pPr>
            <w:r w:rsidRPr="00E11173">
              <w:rPr>
                <w:sz w:val="24"/>
                <w:szCs w:val="24"/>
              </w:rPr>
              <w:t>Учреждениями культурно-досугового типа</w:t>
            </w:r>
          </w:p>
        </w:tc>
        <w:tc>
          <w:tcPr>
            <w:tcW w:w="2134" w:type="dxa"/>
            <w:tcBorders>
              <w:top w:val="single" w:sz="4" w:space="0" w:color="000000"/>
              <w:left w:val="single" w:sz="4" w:space="0" w:color="000000"/>
              <w:bottom w:val="single" w:sz="4" w:space="0" w:color="000000"/>
            </w:tcBorders>
          </w:tcPr>
          <w:p w:rsidR="00A65FD4" w:rsidRPr="00E11173" w:rsidRDefault="00A65FD4" w:rsidP="00A65FD4">
            <w:pPr>
              <w:pStyle w:val="321"/>
              <w:keepNext/>
              <w:keepLines/>
              <w:spacing w:after="0"/>
              <w:ind w:left="0"/>
              <w:jc w:val="center"/>
              <w:rPr>
                <w:sz w:val="24"/>
                <w:szCs w:val="24"/>
              </w:rPr>
            </w:pPr>
            <w:r w:rsidRPr="00E11173">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pacing w:after="0"/>
              <w:ind w:left="0"/>
              <w:jc w:val="center"/>
              <w:rPr>
                <w:sz w:val="24"/>
                <w:szCs w:val="24"/>
              </w:rPr>
            </w:pPr>
            <w:r w:rsidRPr="00E11173">
              <w:rPr>
                <w:sz w:val="24"/>
                <w:szCs w:val="24"/>
              </w:rPr>
              <w:t>0,07</w:t>
            </w:r>
          </w:p>
        </w:tc>
        <w:tc>
          <w:tcPr>
            <w:tcW w:w="1390" w:type="dxa"/>
            <w:tcBorders>
              <w:top w:val="single" w:sz="4" w:space="0" w:color="000000"/>
              <w:left w:val="single" w:sz="4" w:space="0" w:color="000000"/>
              <w:bottom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0,07</w:t>
            </w:r>
          </w:p>
        </w:tc>
        <w:tc>
          <w:tcPr>
            <w:tcW w:w="1431" w:type="dxa"/>
            <w:tcBorders>
              <w:top w:val="single" w:sz="4" w:space="0" w:color="000000"/>
              <w:left w:val="single" w:sz="4" w:space="0" w:color="000000"/>
              <w:bottom w:val="single" w:sz="4" w:space="0" w:color="000000"/>
              <w:right w:val="single" w:sz="4" w:space="0" w:color="000000"/>
            </w:tcBorders>
            <w:vAlign w:val="center"/>
          </w:tcPr>
          <w:p w:rsidR="00A65FD4" w:rsidRPr="00E11173" w:rsidRDefault="00A65FD4" w:rsidP="00A65FD4">
            <w:pPr>
              <w:pStyle w:val="321"/>
              <w:keepNext/>
              <w:keepLines/>
              <w:spacing w:after="0" w:line="276" w:lineRule="auto"/>
              <w:ind w:left="0"/>
              <w:jc w:val="center"/>
              <w:rPr>
                <w:sz w:val="24"/>
                <w:szCs w:val="24"/>
              </w:rPr>
            </w:pPr>
            <w:r w:rsidRPr="00E11173">
              <w:rPr>
                <w:sz w:val="24"/>
                <w:szCs w:val="24"/>
              </w:rPr>
              <w:t>0,07</w:t>
            </w:r>
          </w:p>
        </w:tc>
      </w:tr>
    </w:tbl>
    <w:p w:rsidR="00A65FD4" w:rsidRPr="0076205A" w:rsidRDefault="00A65FD4" w:rsidP="00A65FD4">
      <w:pPr>
        <w:keepNext/>
        <w:keepLines/>
        <w:spacing w:line="276" w:lineRule="auto"/>
        <w:jc w:val="center"/>
        <w:rPr>
          <w:sz w:val="24"/>
          <w:szCs w:val="24"/>
        </w:rPr>
      </w:pPr>
    </w:p>
    <w:p w:rsidR="006870AD" w:rsidRDefault="00A65FD4" w:rsidP="00A65FD4">
      <w:pPr>
        <w:pStyle w:val="2a"/>
        <w:spacing w:after="0" w:line="276" w:lineRule="auto"/>
        <w:ind w:firstLine="709"/>
        <w:jc w:val="both"/>
        <w:rPr>
          <w:sz w:val="24"/>
          <w:szCs w:val="24"/>
        </w:rPr>
      </w:pPr>
      <w:r w:rsidRPr="00E11173">
        <w:rPr>
          <w:sz w:val="24"/>
          <w:szCs w:val="24"/>
        </w:rPr>
        <w:t>Одной из проблем в текущем году</w:t>
      </w:r>
      <w:r w:rsidR="0052727C">
        <w:rPr>
          <w:sz w:val="24"/>
          <w:szCs w:val="24"/>
        </w:rPr>
        <w:t>,</w:t>
      </w:r>
      <w:r w:rsidRPr="00E11173">
        <w:rPr>
          <w:sz w:val="24"/>
          <w:szCs w:val="24"/>
        </w:rPr>
        <w:t xml:space="preserve"> по-прежнему</w:t>
      </w:r>
      <w:r w:rsidR="0052727C">
        <w:rPr>
          <w:sz w:val="24"/>
          <w:szCs w:val="24"/>
        </w:rPr>
        <w:t>,</w:t>
      </w:r>
      <w:r w:rsidRPr="00E11173">
        <w:rPr>
          <w:sz w:val="24"/>
          <w:szCs w:val="24"/>
        </w:rPr>
        <w:t xml:space="preserve"> остается состояние материально-технической базы учреждений культуры. Для преодоления сложностей социально-экономического характера используется применение программно-целевого метода управления.</w:t>
      </w:r>
    </w:p>
    <w:p w:rsidR="006870AD" w:rsidRPr="005F318A" w:rsidRDefault="006870AD" w:rsidP="006870AD">
      <w:pPr>
        <w:pStyle w:val="2a"/>
        <w:spacing w:after="0" w:line="276" w:lineRule="auto"/>
        <w:ind w:firstLine="709"/>
        <w:jc w:val="both"/>
        <w:rPr>
          <w:sz w:val="24"/>
          <w:szCs w:val="24"/>
        </w:rPr>
      </w:pPr>
      <w:r w:rsidRPr="005F318A">
        <w:rPr>
          <w:sz w:val="24"/>
          <w:szCs w:val="24"/>
        </w:rPr>
        <w:t xml:space="preserve">В рамках муниципальной программы «Культура Тольятти (2014-2018 гг.)», утвержденной постановлением мэрии городского округа Тольятти от 30.09.2013 № 2988-п/1, за счет средств бюджета городского округа Тольятти в 2017 году продолжается  укрепление материально-технической базы учреждений культуры  (ремонты кровель,  оснащение объектов культуры оборудованием, создание экспозиции в Тольяттинском краеведческом музее), </w:t>
      </w:r>
      <w:r w:rsidRPr="005F318A">
        <w:rPr>
          <w:color w:val="FF0000"/>
          <w:sz w:val="24"/>
          <w:szCs w:val="24"/>
        </w:rPr>
        <w:t xml:space="preserve"> </w:t>
      </w:r>
      <w:r w:rsidRPr="005F318A">
        <w:rPr>
          <w:sz w:val="24"/>
          <w:szCs w:val="24"/>
        </w:rPr>
        <w:t xml:space="preserve">что будет способствовать созданию благоприятных условий  для оказания услуг в последующий период. </w:t>
      </w:r>
    </w:p>
    <w:p w:rsidR="006870AD" w:rsidRPr="00D60A68" w:rsidRDefault="006870AD" w:rsidP="006870AD">
      <w:pPr>
        <w:spacing w:line="276" w:lineRule="auto"/>
        <w:ind w:firstLine="709"/>
        <w:jc w:val="both"/>
        <w:rPr>
          <w:sz w:val="24"/>
          <w:szCs w:val="24"/>
        </w:rPr>
      </w:pPr>
      <w:r w:rsidRPr="005F318A">
        <w:rPr>
          <w:sz w:val="24"/>
          <w:szCs w:val="24"/>
        </w:rPr>
        <w:t>За счет средств вышестоящих бюджетов предполагается реконструкция здания МБУК «ДЦ «Русич», корпуса МАУИ ДТ «Колесо» им. народного артиста России Г.Б.Дроздова (ул. Свердлова, 11а) и строительство Выставочного зала с созданием благоустроенных многофункциональных площадок в городской среде и современных залов.</w:t>
      </w:r>
    </w:p>
    <w:p w:rsidR="00A65FD4" w:rsidRPr="00E11173" w:rsidRDefault="00A65FD4" w:rsidP="00A65FD4">
      <w:pPr>
        <w:pStyle w:val="2a"/>
        <w:spacing w:after="0" w:line="276" w:lineRule="auto"/>
        <w:ind w:firstLine="709"/>
        <w:jc w:val="both"/>
        <w:rPr>
          <w:sz w:val="24"/>
          <w:szCs w:val="24"/>
        </w:rPr>
      </w:pPr>
    </w:p>
    <w:p w:rsidR="00A50BA4" w:rsidRPr="001D6AFD" w:rsidRDefault="00A50BA4" w:rsidP="00FC515F">
      <w:pPr>
        <w:pStyle w:val="2a"/>
        <w:spacing w:after="0" w:line="276" w:lineRule="auto"/>
        <w:jc w:val="center"/>
        <w:rPr>
          <w:b/>
          <w:bCs/>
          <w:sz w:val="24"/>
          <w:szCs w:val="24"/>
        </w:rPr>
      </w:pPr>
      <w:r w:rsidRPr="001D6AFD">
        <w:rPr>
          <w:b/>
          <w:bCs/>
          <w:sz w:val="24"/>
          <w:szCs w:val="24"/>
        </w:rPr>
        <w:t>Физическая культура и спорт</w:t>
      </w:r>
    </w:p>
    <w:p w:rsidR="00A50BA4" w:rsidRPr="005A34F1" w:rsidRDefault="00A50BA4" w:rsidP="00FC515F">
      <w:pPr>
        <w:pStyle w:val="2a"/>
        <w:spacing w:after="0" w:line="276" w:lineRule="auto"/>
        <w:jc w:val="center"/>
        <w:rPr>
          <w:b/>
          <w:bCs/>
          <w:sz w:val="24"/>
          <w:szCs w:val="24"/>
          <w:highlight w:val="yellow"/>
        </w:rPr>
      </w:pPr>
    </w:p>
    <w:p w:rsidR="001D6AFD" w:rsidRPr="009C262D" w:rsidRDefault="001D6AFD" w:rsidP="001D6AFD">
      <w:pPr>
        <w:suppressAutoHyphens w:val="0"/>
        <w:spacing w:line="276" w:lineRule="auto"/>
        <w:ind w:firstLine="567"/>
        <w:jc w:val="both"/>
        <w:rPr>
          <w:sz w:val="24"/>
          <w:szCs w:val="24"/>
          <w:lang w:eastAsia="ru-RU"/>
        </w:rPr>
      </w:pPr>
      <w:r w:rsidRPr="009C262D">
        <w:rPr>
          <w:sz w:val="24"/>
          <w:szCs w:val="24"/>
          <w:lang w:eastAsia="ru-RU"/>
        </w:rPr>
        <w:t xml:space="preserve">Основным показателем развития отрасли является </w:t>
      </w:r>
      <w:r>
        <w:rPr>
          <w:sz w:val="24"/>
          <w:szCs w:val="24"/>
          <w:lang w:eastAsia="ru-RU"/>
        </w:rPr>
        <w:t>«</w:t>
      </w:r>
      <w:r w:rsidR="007E0F2A">
        <w:rPr>
          <w:sz w:val="24"/>
          <w:szCs w:val="24"/>
          <w:lang w:eastAsia="ru-RU"/>
        </w:rPr>
        <w:t>У</w:t>
      </w:r>
      <w:bookmarkStart w:id="1" w:name="_GoBack"/>
      <w:bookmarkEnd w:id="1"/>
      <w:r w:rsidR="007E0F2A">
        <w:rPr>
          <w:sz w:val="24"/>
          <w:szCs w:val="24"/>
          <w:lang w:eastAsia="ru-RU"/>
        </w:rPr>
        <w:t xml:space="preserve">дельный вес </w:t>
      </w:r>
      <w:r w:rsidRPr="009C262D">
        <w:rPr>
          <w:sz w:val="24"/>
          <w:szCs w:val="24"/>
          <w:lang w:eastAsia="ru-RU"/>
        </w:rPr>
        <w:t xml:space="preserve"> населения, систематически занимающихся физической культурой и спортом</w:t>
      </w:r>
      <w:r>
        <w:rPr>
          <w:sz w:val="24"/>
          <w:szCs w:val="24"/>
          <w:lang w:eastAsia="ru-RU"/>
        </w:rPr>
        <w:t>». Значение</w:t>
      </w:r>
      <w:r w:rsidRPr="009C262D">
        <w:rPr>
          <w:sz w:val="24"/>
          <w:szCs w:val="24"/>
          <w:lang w:eastAsia="ru-RU"/>
        </w:rPr>
        <w:t xml:space="preserve"> данн</w:t>
      </w:r>
      <w:r>
        <w:rPr>
          <w:sz w:val="24"/>
          <w:szCs w:val="24"/>
          <w:lang w:eastAsia="ru-RU"/>
        </w:rPr>
        <w:t>ого</w:t>
      </w:r>
      <w:r w:rsidRPr="009C262D">
        <w:rPr>
          <w:sz w:val="24"/>
          <w:szCs w:val="24"/>
          <w:lang w:eastAsia="ru-RU"/>
        </w:rPr>
        <w:t xml:space="preserve"> показател</w:t>
      </w:r>
      <w:r>
        <w:rPr>
          <w:sz w:val="24"/>
          <w:szCs w:val="24"/>
          <w:lang w:eastAsia="ru-RU"/>
        </w:rPr>
        <w:t>я</w:t>
      </w:r>
      <w:r w:rsidRPr="009C262D">
        <w:rPr>
          <w:sz w:val="24"/>
          <w:szCs w:val="24"/>
          <w:lang w:eastAsia="ru-RU"/>
        </w:rPr>
        <w:t xml:space="preserve"> по городскому округу Тольятти в 2015 году составил</w:t>
      </w:r>
      <w:r>
        <w:rPr>
          <w:sz w:val="24"/>
          <w:szCs w:val="24"/>
          <w:lang w:eastAsia="ru-RU"/>
        </w:rPr>
        <w:t>о</w:t>
      </w:r>
      <w:r w:rsidRPr="009C262D">
        <w:rPr>
          <w:sz w:val="24"/>
          <w:szCs w:val="24"/>
          <w:lang w:eastAsia="ru-RU"/>
        </w:rPr>
        <w:t xml:space="preserve"> 29,6</w:t>
      </w:r>
      <w:r>
        <w:rPr>
          <w:sz w:val="24"/>
          <w:szCs w:val="24"/>
          <w:lang w:eastAsia="ru-RU"/>
        </w:rPr>
        <w:t xml:space="preserve"> </w:t>
      </w:r>
      <w:r w:rsidRPr="009C262D">
        <w:rPr>
          <w:sz w:val="24"/>
          <w:szCs w:val="24"/>
          <w:lang w:eastAsia="ru-RU"/>
        </w:rPr>
        <w:t>%, в 2016 году - 33,8</w:t>
      </w:r>
      <w:r>
        <w:rPr>
          <w:sz w:val="24"/>
          <w:szCs w:val="24"/>
          <w:lang w:eastAsia="ru-RU"/>
        </w:rPr>
        <w:t xml:space="preserve"> </w:t>
      </w:r>
      <w:r w:rsidRPr="009C262D">
        <w:rPr>
          <w:sz w:val="24"/>
          <w:szCs w:val="24"/>
          <w:lang w:eastAsia="ru-RU"/>
        </w:rPr>
        <w:t xml:space="preserve">% и в 2017 году оценивается </w:t>
      </w:r>
      <w:r>
        <w:rPr>
          <w:sz w:val="24"/>
          <w:szCs w:val="24"/>
          <w:lang w:eastAsia="ru-RU"/>
        </w:rPr>
        <w:t xml:space="preserve">на уровне </w:t>
      </w:r>
      <w:r w:rsidRPr="009C262D">
        <w:rPr>
          <w:sz w:val="24"/>
          <w:szCs w:val="24"/>
          <w:lang w:eastAsia="ru-RU"/>
        </w:rPr>
        <w:t>не менее 34,5</w:t>
      </w:r>
      <w:r>
        <w:rPr>
          <w:sz w:val="24"/>
          <w:szCs w:val="24"/>
          <w:lang w:eastAsia="ru-RU"/>
        </w:rPr>
        <w:t xml:space="preserve"> </w:t>
      </w:r>
      <w:r w:rsidRPr="009C262D">
        <w:rPr>
          <w:sz w:val="24"/>
          <w:szCs w:val="24"/>
          <w:lang w:eastAsia="ru-RU"/>
        </w:rPr>
        <w:t>%.</w:t>
      </w:r>
    </w:p>
    <w:p w:rsidR="001D6AFD" w:rsidRPr="009C262D" w:rsidRDefault="001D6AFD" w:rsidP="001D6AFD">
      <w:pPr>
        <w:suppressAutoHyphens w:val="0"/>
        <w:spacing w:line="276" w:lineRule="auto"/>
        <w:ind w:firstLine="567"/>
        <w:jc w:val="both"/>
        <w:rPr>
          <w:sz w:val="24"/>
          <w:szCs w:val="24"/>
          <w:lang w:eastAsia="ru-RU"/>
        </w:rPr>
      </w:pPr>
      <w:r w:rsidRPr="009C262D">
        <w:rPr>
          <w:sz w:val="24"/>
          <w:szCs w:val="24"/>
          <w:lang w:eastAsia="ru-RU"/>
        </w:rPr>
        <w:t xml:space="preserve">Рост показателя объясняется наличием системной работы в городском округе Тольятти, имеется значительный физкультурный актив, работают 119 общественных организаций спортивного направления – клубов, федераций, количество фитнес клубов составляет 51 ед. Большое внимание уделяется развитию спартакиадного движения среди всех возрастных групп населения – дошкольников, школьников, студентов, трудящихся, инвалидов, ветеранов спорта. </w:t>
      </w:r>
    </w:p>
    <w:p w:rsidR="001D6AFD" w:rsidRDefault="001D6AFD" w:rsidP="001D6AFD">
      <w:pPr>
        <w:suppressAutoHyphens w:val="0"/>
        <w:spacing w:line="276" w:lineRule="auto"/>
        <w:ind w:firstLine="567"/>
        <w:jc w:val="both"/>
        <w:rPr>
          <w:sz w:val="24"/>
          <w:szCs w:val="24"/>
          <w:lang w:eastAsia="ru-RU"/>
        </w:rPr>
      </w:pPr>
      <w:r w:rsidRPr="009C262D">
        <w:rPr>
          <w:sz w:val="24"/>
          <w:szCs w:val="24"/>
          <w:lang w:eastAsia="ru-RU"/>
        </w:rPr>
        <w:t xml:space="preserve">В городском округе Тольятти наработаны и сохраняются многолетние спортивные традиции в проведении соревнований (легкоатлетическая эстафета, посвященная Дню Победы проводится более 50 лет, тольяттинский лыжный марафон – более 20), а в последнее десятилетие получили развитие новые спортивные традиции: детский фестиваль гандбола (более 10 лет), фестиваль «Жигули-Баскет», соревнования по месту жительства «Семейные старты», «Большая игра», «Зимний мяч», «Мяч над сеткой», фестиваль стритбола, фестиваль по фитнес-аэробике «Мир движения и красоты» и детско-юношеский фестиваль футбола. </w:t>
      </w:r>
    </w:p>
    <w:p w:rsidR="001D6AFD" w:rsidRDefault="001D6AFD" w:rsidP="001D6AFD">
      <w:pPr>
        <w:suppressAutoHyphens w:val="0"/>
        <w:spacing w:line="276" w:lineRule="auto"/>
        <w:ind w:firstLine="567"/>
        <w:jc w:val="both"/>
        <w:rPr>
          <w:sz w:val="24"/>
          <w:szCs w:val="24"/>
          <w:lang w:eastAsia="ru-RU"/>
        </w:rPr>
      </w:pPr>
      <w:r w:rsidRPr="009C262D">
        <w:rPr>
          <w:sz w:val="24"/>
          <w:szCs w:val="24"/>
          <w:lang w:eastAsia="ru-RU"/>
        </w:rPr>
        <w:t>В 2016 году в рамках реализации «Календарного плана физкультурных мероприятий и спортивных мероприятий» проведено 317 физкультурно-спортивных мероприятий с общим охватом участников 103 789 участников. В сравнении с 2015 годом увеличилось количество участников на 3%. В 2017 году планируется выполнение показателя по проведению спортивных мероприятий и их количество участников на уровне не ниже 2016 года.</w:t>
      </w:r>
    </w:p>
    <w:p w:rsidR="001D6AFD" w:rsidRPr="005D193E" w:rsidRDefault="001D6AFD" w:rsidP="001D6AFD">
      <w:pPr>
        <w:suppressAutoHyphens w:val="0"/>
        <w:spacing w:line="276" w:lineRule="auto"/>
        <w:ind w:firstLine="567"/>
        <w:jc w:val="both"/>
        <w:rPr>
          <w:sz w:val="24"/>
          <w:szCs w:val="24"/>
        </w:rPr>
      </w:pPr>
      <w:r w:rsidRPr="005D193E">
        <w:rPr>
          <w:sz w:val="24"/>
          <w:szCs w:val="24"/>
        </w:rPr>
        <w:t>Согласно данным федерального статистического наблюдения по форме 1-ФК по состоянию на 01.01.2017 года в городском округе Тольятти общее количество спортивных сооружений составляет 776 ед.</w:t>
      </w:r>
      <w:r>
        <w:rPr>
          <w:sz w:val="24"/>
          <w:szCs w:val="24"/>
        </w:rPr>
        <w:t xml:space="preserve"> (из них 629 – муниципальных)</w:t>
      </w:r>
      <w:r w:rsidRPr="005D193E">
        <w:rPr>
          <w:sz w:val="24"/>
          <w:szCs w:val="24"/>
        </w:rPr>
        <w:t>, в том числе: стадионы - 3 ед., плоскостные площадки, поля - 419 ед., спортивные залы - 197 ед., крытые объекты с искусственным льдом - 6 ед., плавательные бассейны - 22 ед., лыжные базы - 3 ед., стрелковые тиры - 16 ед. и другие спортивные сооружения - 110 ед.</w:t>
      </w:r>
    </w:p>
    <w:p w:rsidR="001D6AFD" w:rsidRPr="00B43C09" w:rsidRDefault="001D6AFD" w:rsidP="00A94169">
      <w:pPr>
        <w:spacing w:line="276" w:lineRule="auto"/>
        <w:ind w:firstLine="567"/>
        <w:jc w:val="both"/>
        <w:rPr>
          <w:sz w:val="24"/>
          <w:szCs w:val="24"/>
        </w:rPr>
      </w:pPr>
      <w:r w:rsidRPr="00B43C09">
        <w:rPr>
          <w:sz w:val="24"/>
          <w:szCs w:val="24"/>
        </w:rPr>
        <w:t>Анализ обеспеченности населения городского округа Тольятти спортивными сооружениями за 2016 год показывает, что обеспеченность в процентах от норматива составляет: спортивными залами - 39,5%,  плоскостными сооружениями - 42,8%, плавательными бассейнами - 11,8%.</w:t>
      </w:r>
    </w:p>
    <w:p w:rsidR="001D6AFD" w:rsidRDefault="001D6AFD" w:rsidP="00A94169">
      <w:pPr>
        <w:spacing w:line="276" w:lineRule="auto"/>
        <w:ind w:firstLine="567"/>
        <w:jc w:val="both"/>
        <w:rPr>
          <w:sz w:val="24"/>
          <w:szCs w:val="24"/>
          <w:lang w:eastAsia="ru-RU"/>
        </w:rPr>
      </w:pPr>
      <w:r w:rsidRPr="00A16347">
        <w:rPr>
          <w:sz w:val="24"/>
          <w:szCs w:val="24"/>
        </w:rPr>
        <w:t>В связи с наличием проблемы недостаточности материальной базы для занятий физической культурой и спортом</w:t>
      </w:r>
      <w:r w:rsidRPr="009C262D">
        <w:rPr>
          <w:sz w:val="24"/>
          <w:szCs w:val="24"/>
          <w:lang w:eastAsia="ru-RU"/>
        </w:rPr>
        <w:t xml:space="preserve"> </w:t>
      </w:r>
      <w:r>
        <w:rPr>
          <w:sz w:val="24"/>
          <w:szCs w:val="24"/>
          <w:lang w:eastAsia="ru-RU"/>
        </w:rPr>
        <w:t>в</w:t>
      </w:r>
      <w:r w:rsidRPr="009C262D">
        <w:rPr>
          <w:sz w:val="24"/>
          <w:szCs w:val="24"/>
          <w:lang w:eastAsia="ru-RU"/>
        </w:rPr>
        <w:t xml:space="preserve"> городского округа Тольятти разработана муниципальная программа «Развитие физической культуры и спорта в городском округе Тольятти на 2017-2021 годы», одной из задач которой является строительство, реконструкция и капитальный ремонт  различных спортивных объектов</w:t>
      </w:r>
      <w:r>
        <w:rPr>
          <w:sz w:val="24"/>
          <w:szCs w:val="24"/>
          <w:lang w:eastAsia="ru-RU"/>
        </w:rPr>
        <w:t>.</w:t>
      </w:r>
    </w:p>
    <w:p w:rsidR="001D6AFD" w:rsidRPr="00A16347" w:rsidRDefault="001D6AFD" w:rsidP="001D6AFD">
      <w:pPr>
        <w:suppressAutoHyphens w:val="0"/>
        <w:spacing w:line="276" w:lineRule="auto"/>
        <w:ind w:firstLine="567"/>
        <w:jc w:val="both"/>
        <w:rPr>
          <w:sz w:val="24"/>
          <w:szCs w:val="24"/>
          <w:lang w:eastAsia="ru-RU"/>
        </w:rPr>
      </w:pPr>
      <w:r w:rsidRPr="00A16347">
        <w:rPr>
          <w:sz w:val="24"/>
          <w:szCs w:val="24"/>
          <w:lang w:eastAsia="ru-RU"/>
        </w:rPr>
        <w:t>В 2016 году введен в эксплуатацию с присвоением адреса: г.Тольятти, ул. Карла Маркса, 37 (на территории стадиона «Труд») многофункциональный физкультурно-спортивный комплекс («тройка» - бассейн, универсальный игровой зал, искусственный лед).</w:t>
      </w:r>
    </w:p>
    <w:p w:rsidR="001D6AFD" w:rsidRPr="00A16347" w:rsidRDefault="001D6AFD" w:rsidP="00A94169">
      <w:pPr>
        <w:spacing w:line="276" w:lineRule="auto"/>
        <w:ind w:firstLine="567"/>
        <w:jc w:val="both"/>
        <w:rPr>
          <w:sz w:val="24"/>
          <w:szCs w:val="24"/>
          <w:lang w:eastAsia="ru-RU"/>
        </w:rPr>
      </w:pPr>
      <w:r w:rsidRPr="00A16347">
        <w:rPr>
          <w:sz w:val="24"/>
          <w:szCs w:val="24"/>
          <w:lang w:eastAsia="ru-RU"/>
        </w:rPr>
        <w:t>В 2017 году реализуются мероприятия по устройству 17 ед. универсальных спортивных площадок и завершение реконструкции стадиона «Труд». После проведения работ по реконструкции стадион «Труд» будет оборудован: полноразмерным футбольным полем с искусственным покрытие в разметке 105х68м, легкоатлетическими дорожками в количестве 6 шт. (круговые 400 метров) и 6 беговых дорожек (прямые  100 м) с полиуретановым монолитным покрытием, секторами для толкания ядра, прыжков в длину и высоту, спортивной площадкой (баскетбол, волейбол), трибунами на 500 мест.</w:t>
      </w:r>
    </w:p>
    <w:p w:rsidR="001D6AFD" w:rsidRDefault="001D6AFD" w:rsidP="00A94169">
      <w:pPr>
        <w:spacing w:line="276" w:lineRule="auto"/>
        <w:ind w:firstLine="600"/>
        <w:jc w:val="both"/>
        <w:rPr>
          <w:sz w:val="24"/>
          <w:szCs w:val="24"/>
        </w:rPr>
      </w:pPr>
      <w:r w:rsidRPr="00A16347">
        <w:rPr>
          <w:sz w:val="24"/>
          <w:szCs w:val="24"/>
        </w:rPr>
        <w:t>Согласно данным, представленным по форме № 1-ФК «Сведения о физической культуре и спорте» за 2016 год по состоянию на 31.12.2016 года в городском округе Тольятти в организациях различных организационно-правовых форм и видов собственности имеется 1956 физкультурных работников.</w:t>
      </w:r>
    </w:p>
    <w:p w:rsidR="001D6AFD" w:rsidRPr="00A16347" w:rsidRDefault="001D6AFD" w:rsidP="00A94169">
      <w:pPr>
        <w:spacing w:line="276" w:lineRule="auto"/>
        <w:ind w:firstLine="567"/>
        <w:jc w:val="both"/>
        <w:rPr>
          <w:sz w:val="24"/>
          <w:szCs w:val="24"/>
        </w:rPr>
      </w:pPr>
      <w:r w:rsidRPr="00A16347">
        <w:rPr>
          <w:sz w:val="24"/>
          <w:szCs w:val="24"/>
        </w:rPr>
        <w:t xml:space="preserve">По состоянию на 31.12.2016г. в ведении </w:t>
      </w:r>
      <w:r>
        <w:rPr>
          <w:sz w:val="24"/>
          <w:szCs w:val="24"/>
        </w:rPr>
        <w:t>администрации</w:t>
      </w:r>
      <w:r w:rsidRPr="00A16347">
        <w:rPr>
          <w:sz w:val="24"/>
          <w:szCs w:val="24"/>
        </w:rPr>
        <w:t xml:space="preserve"> городского округа Тольятти находятся 14 муниципальных бюджетных образовательных учреждений дополнительного образования детей СДЮСШОР и КСДЮСШОР</w:t>
      </w:r>
      <w:r>
        <w:rPr>
          <w:sz w:val="24"/>
          <w:szCs w:val="24"/>
        </w:rPr>
        <w:t xml:space="preserve">, в них работают </w:t>
      </w:r>
      <w:r w:rsidRPr="00760698">
        <w:rPr>
          <w:sz w:val="24"/>
          <w:szCs w:val="24"/>
        </w:rPr>
        <w:t>370 педагогических работника. В настоящее время отсутствует острая проблема с укомплектованностью тренерами и специалистами муниципальных учреждений.</w:t>
      </w:r>
    </w:p>
    <w:p w:rsidR="001D6AFD" w:rsidRPr="00A16347" w:rsidRDefault="001D6AFD" w:rsidP="001D6AFD">
      <w:pPr>
        <w:ind w:firstLine="600"/>
        <w:jc w:val="both"/>
        <w:rPr>
          <w:sz w:val="24"/>
          <w:szCs w:val="24"/>
        </w:rPr>
      </w:pPr>
    </w:p>
    <w:p w:rsidR="001D6AFD" w:rsidRPr="00143239" w:rsidRDefault="001D6AFD" w:rsidP="001D6AFD">
      <w:pPr>
        <w:spacing w:line="276" w:lineRule="auto"/>
        <w:jc w:val="center"/>
        <w:rPr>
          <w:sz w:val="24"/>
          <w:szCs w:val="24"/>
        </w:rPr>
      </w:pPr>
      <w:r w:rsidRPr="00143239">
        <w:rPr>
          <w:sz w:val="24"/>
          <w:szCs w:val="24"/>
        </w:rPr>
        <w:t>Ожидаемое выполнение прогнозных показателей по разделу</w:t>
      </w:r>
    </w:p>
    <w:p w:rsidR="001D6AFD" w:rsidRPr="00143239" w:rsidRDefault="001D6AFD" w:rsidP="001D6AFD">
      <w:pPr>
        <w:spacing w:line="276" w:lineRule="auto"/>
        <w:jc w:val="center"/>
        <w:rPr>
          <w:sz w:val="24"/>
          <w:szCs w:val="24"/>
        </w:rPr>
      </w:pPr>
      <w:r w:rsidRPr="00143239">
        <w:rPr>
          <w:sz w:val="24"/>
          <w:szCs w:val="24"/>
        </w:rPr>
        <w:t>«Физическая культура и спорт» на 201</w:t>
      </w:r>
      <w:r>
        <w:rPr>
          <w:sz w:val="24"/>
          <w:szCs w:val="24"/>
        </w:rPr>
        <w:t>7</w:t>
      </w:r>
      <w:r w:rsidRPr="00143239">
        <w:rPr>
          <w:sz w:val="24"/>
          <w:szCs w:val="24"/>
        </w:rPr>
        <w:t xml:space="preserve"> год</w:t>
      </w:r>
    </w:p>
    <w:p w:rsidR="001D6AFD" w:rsidRPr="00143239" w:rsidRDefault="001D6AFD" w:rsidP="001D6AFD">
      <w:pPr>
        <w:spacing w:line="276" w:lineRule="auto"/>
        <w:ind w:firstLine="709"/>
        <w:jc w:val="center"/>
        <w:rPr>
          <w:sz w:val="24"/>
          <w:szCs w:val="24"/>
        </w:rPr>
      </w:pPr>
    </w:p>
    <w:tbl>
      <w:tblPr>
        <w:tblW w:w="9356" w:type="dxa"/>
        <w:tblInd w:w="108" w:type="dxa"/>
        <w:tblLayout w:type="fixed"/>
        <w:tblLook w:val="0000" w:firstRow="0" w:lastRow="0" w:firstColumn="0" w:lastColumn="0" w:noHBand="0" w:noVBand="0"/>
      </w:tblPr>
      <w:tblGrid>
        <w:gridCol w:w="3969"/>
        <w:gridCol w:w="1276"/>
        <w:gridCol w:w="1559"/>
        <w:gridCol w:w="1276"/>
        <w:gridCol w:w="1276"/>
      </w:tblGrid>
      <w:tr w:rsidR="001D6AFD" w:rsidRPr="00143239" w:rsidTr="00812346">
        <w:trPr>
          <w:trHeight w:hRule="exact" w:val="332"/>
          <w:tblHeader/>
        </w:trPr>
        <w:tc>
          <w:tcPr>
            <w:tcW w:w="3969" w:type="dxa"/>
            <w:vMerge w:val="restart"/>
            <w:tcBorders>
              <w:top w:val="single" w:sz="4" w:space="0" w:color="000000"/>
              <w:left w:val="single" w:sz="4" w:space="0" w:color="000000"/>
              <w:bottom w:val="single" w:sz="4" w:space="0" w:color="000000"/>
            </w:tcBorders>
            <w:vAlign w:val="center"/>
          </w:tcPr>
          <w:p w:rsidR="001D6AFD" w:rsidRPr="00143239" w:rsidRDefault="001D6AFD" w:rsidP="00812346">
            <w:pPr>
              <w:snapToGrid w:val="0"/>
              <w:spacing w:line="276" w:lineRule="auto"/>
              <w:jc w:val="center"/>
              <w:rPr>
                <w:sz w:val="24"/>
                <w:szCs w:val="24"/>
              </w:rPr>
            </w:pPr>
            <w:r w:rsidRPr="00143239">
              <w:rPr>
                <w:sz w:val="24"/>
                <w:szCs w:val="24"/>
              </w:rPr>
              <w:t>Показатели</w:t>
            </w:r>
          </w:p>
        </w:tc>
        <w:tc>
          <w:tcPr>
            <w:tcW w:w="1276" w:type="dxa"/>
            <w:vMerge w:val="restart"/>
            <w:tcBorders>
              <w:top w:val="single" w:sz="4" w:space="0" w:color="000000"/>
              <w:left w:val="single" w:sz="4" w:space="0" w:color="000000"/>
              <w:bottom w:val="single" w:sz="4" w:space="0" w:color="000000"/>
            </w:tcBorders>
            <w:vAlign w:val="center"/>
          </w:tcPr>
          <w:p w:rsidR="001D6AFD" w:rsidRPr="00143239" w:rsidRDefault="001D6AFD" w:rsidP="00812346">
            <w:pPr>
              <w:snapToGrid w:val="0"/>
              <w:spacing w:line="276" w:lineRule="auto"/>
              <w:jc w:val="center"/>
              <w:rPr>
                <w:sz w:val="24"/>
                <w:szCs w:val="24"/>
              </w:rPr>
            </w:pPr>
            <w:r w:rsidRPr="00143239">
              <w:rPr>
                <w:sz w:val="24"/>
                <w:szCs w:val="24"/>
              </w:rPr>
              <w:t>Ед.изм.</w:t>
            </w:r>
          </w:p>
        </w:tc>
        <w:tc>
          <w:tcPr>
            <w:tcW w:w="2835" w:type="dxa"/>
            <w:gridSpan w:val="2"/>
            <w:tcBorders>
              <w:top w:val="single" w:sz="4" w:space="0" w:color="000000"/>
              <w:left w:val="single" w:sz="4" w:space="0" w:color="000000"/>
              <w:bottom w:val="single" w:sz="4" w:space="0" w:color="000000"/>
            </w:tcBorders>
          </w:tcPr>
          <w:p w:rsidR="001D6AFD" w:rsidRPr="00143239" w:rsidRDefault="001D6AFD" w:rsidP="00812346">
            <w:pPr>
              <w:jc w:val="center"/>
              <w:rPr>
                <w:sz w:val="24"/>
                <w:szCs w:val="24"/>
              </w:rPr>
            </w:pPr>
            <w:r w:rsidRPr="00143239">
              <w:rPr>
                <w:sz w:val="24"/>
                <w:szCs w:val="24"/>
              </w:rPr>
              <w:t>Прогноз на 201</w:t>
            </w:r>
            <w:r>
              <w:rPr>
                <w:sz w:val="24"/>
                <w:szCs w:val="24"/>
              </w:rPr>
              <w:t>7</w:t>
            </w:r>
            <w:r w:rsidRPr="00143239">
              <w:rPr>
                <w:sz w:val="24"/>
                <w:szCs w:val="24"/>
              </w:rPr>
              <w:t xml:space="preserve"> год</w:t>
            </w:r>
          </w:p>
        </w:tc>
        <w:tc>
          <w:tcPr>
            <w:tcW w:w="1276" w:type="dxa"/>
            <w:vMerge w:val="restart"/>
            <w:tcBorders>
              <w:top w:val="single" w:sz="4" w:space="0" w:color="000000"/>
              <w:left w:val="single" w:sz="4" w:space="0" w:color="000000"/>
              <w:bottom w:val="single" w:sz="4" w:space="0" w:color="000000"/>
              <w:right w:val="single" w:sz="4" w:space="0" w:color="000000"/>
            </w:tcBorders>
          </w:tcPr>
          <w:p w:rsidR="001D6AFD" w:rsidRPr="00143239" w:rsidRDefault="001D6AFD" w:rsidP="00812346">
            <w:pPr>
              <w:jc w:val="center"/>
              <w:rPr>
                <w:sz w:val="24"/>
                <w:szCs w:val="24"/>
              </w:rPr>
            </w:pPr>
            <w:r w:rsidRPr="00143239">
              <w:rPr>
                <w:sz w:val="24"/>
                <w:szCs w:val="24"/>
              </w:rPr>
              <w:t>201</w:t>
            </w:r>
            <w:r>
              <w:rPr>
                <w:sz w:val="24"/>
                <w:szCs w:val="24"/>
              </w:rPr>
              <w:t>7</w:t>
            </w:r>
            <w:r w:rsidRPr="00143239">
              <w:rPr>
                <w:sz w:val="24"/>
                <w:szCs w:val="24"/>
              </w:rPr>
              <w:t xml:space="preserve"> год (оценка)</w:t>
            </w:r>
          </w:p>
        </w:tc>
      </w:tr>
      <w:tr w:rsidR="001D6AFD" w:rsidRPr="00143239" w:rsidTr="00812346">
        <w:trPr>
          <w:trHeight w:hRule="exact" w:val="332"/>
          <w:tblHeader/>
        </w:trPr>
        <w:tc>
          <w:tcPr>
            <w:tcW w:w="3969" w:type="dxa"/>
            <w:vMerge/>
            <w:tcBorders>
              <w:top w:val="single" w:sz="4" w:space="0" w:color="000000"/>
              <w:left w:val="single" w:sz="4" w:space="0" w:color="000000"/>
              <w:bottom w:val="single" w:sz="4" w:space="0" w:color="000000"/>
            </w:tcBorders>
            <w:vAlign w:val="center"/>
          </w:tcPr>
          <w:p w:rsidR="001D6AFD" w:rsidRPr="00143239" w:rsidRDefault="001D6AFD" w:rsidP="00812346">
            <w:pPr>
              <w:snapToGrid w:val="0"/>
              <w:spacing w:line="276" w:lineRule="auto"/>
              <w:rPr>
                <w:sz w:val="24"/>
                <w:szCs w:val="24"/>
              </w:rPr>
            </w:pPr>
          </w:p>
        </w:tc>
        <w:tc>
          <w:tcPr>
            <w:tcW w:w="1276" w:type="dxa"/>
            <w:vMerge/>
            <w:tcBorders>
              <w:top w:val="single" w:sz="4" w:space="0" w:color="000000"/>
              <w:left w:val="single" w:sz="4" w:space="0" w:color="000000"/>
              <w:bottom w:val="single" w:sz="4" w:space="0" w:color="000000"/>
            </w:tcBorders>
            <w:vAlign w:val="center"/>
          </w:tcPr>
          <w:p w:rsidR="001D6AFD" w:rsidRPr="00143239" w:rsidRDefault="001D6AFD" w:rsidP="00812346">
            <w:pPr>
              <w:snapToGrid w:val="0"/>
              <w:spacing w:line="276" w:lineRule="auto"/>
              <w:rPr>
                <w:sz w:val="24"/>
                <w:szCs w:val="24"/>
              </w:rPr>
            </w:pPr>
          </w:p>
        </w:tc>
        <w:tc>
          <w:tcPr>
            <w:tcW w:w="1559" w:type="dxa"/>
            <w:tcBorders>
              <w:left w:val="single" w:sz="4" w:space="0" w:color="000000"/>
              <w:bottom w:val="single" w:sz="4" w:space="0" w:color="000000"/>
            </w:tcBorders>
            <w:vAlign w:val="bottom"/>
          </w:tcPr>
          <w:p w:rsidR="001D6AFD" w:rsidRPr="00143239" w:rsidRDefault="001D6AFD" w:rsidP="00812346">
            <w:pPr>
              <w:snapToGrid w:val="0"/>
              <w:spacing w:line="276" w:lineRule="auto"/>
              <w:jc w:val="center"/>
              <w:rPr>
                <w:sz w:val="24"/>
                <w:szCs w:val="24"/>
              </w:rPr>
            </w:pPr>
            <w:r w:rsidRPr="00143239">
              <w:rPr>
                <w:sz w:val="24"/>
                <w:szCs w:val="24"/>
              </w:rPr>
              <w:t>1 вариант</w:t>
            </w:r>
          </w:p>
        </w:tc>
        <w:tc>
          <w:tcPr>
            <w:tcW w:w="1276" w:type="dxa"/>
            <w:tcBorders>
              <w:left w:val="single" w:sz="4" w:space="0" w:color="000000"/>
              <w:bottom w:val="single" w:sz="4" w:space="0" w:color="000000"/>
            </w:tcBorders>
            <w:vAlign w:val="bottom"/>
          </w:tcPr>
          <w:p w:rsidR="001D6AFD" w:rsidRPr="00143239" w:rsidRDefault="001D6AFD" w:rsidP="00812346">
            <w:pPr>
              <w:snapToGrid w:val="0"/>
              <w:spacing w:line="276" w:lineRule="auto"/>
              <w:jc w:val="center"/>
              <w:rPr>
                <w:sz w:val="24"/>
                <w:szCs w:val="24"/>
              </w:rPr>
            </w:pPr>
            <w:r w:rsidRPr="00143239">
              <w:rPr>
                <w:sz w:val="24"/>
                <w:szCs w:val="24"/>
              </w:rPr>
              <w:t>2 вариант</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D6AFD" w:rsidRPr="00143239" w:rsidRDefault="001D6AFD" w:rsidP="00812346">
            <w:pPr>
              <w:snapToGrid w:val="0"/>
              <w:spacing w:line="276" w:lineRule="auto"/>
              <w:rPr>
                <w:sz w:val="24"/>
                <w:szCs w:val="24"/>
              </w:rPr>
            </w:pPr>
          </w:p>
        </w:tc>
      </w:tr>
      <w:tr w:rsidR="001D6AFD" w:rsidRPr="00143239" w:rsidTr="00812346">
        <w:trPr>
          <w:trHeight w:val="926"/>
        </w:trPr>
        <w:tc>
          <w:tcPr>
            <w:tcW w:w="3969" w:type="dxa"/>
            <w:tcBorders>
              <w:left w:val="single" w:sz="4" w:space="0" w:color="000000"/>
              <w:bottom w:val="single" w:sz="4" w:space="0" w:color="auto"/>
            </w:tcBorders>
            <w:vAlign w:val="center"/>
          </w:tcPr>
          <w:p w:rsidR="001D6AFD" w:rsidRPr="00143239" w:rsidRDefault="001D6AFD" w:rsidP="00812346">
            <w:pPr>
              <w:snapToGrid w:val="0"/>
              <w:rPr>
                <w:iCs/>
                <w:sz w:val="24"/>
                <w:szCs w:val="24"/>
              </w:rPr>
            </w:pPr>
            <w:r w:rsidRPr="00143239">
              <w:rPr>
                <w:sz w:val="24"/>
                <w:szCs w:val="24"/>
              </w:rPr>
              <w:t>Удельный вес населения, систематически занимающегося физической культурой и спортом</w:t>
            </w:r>
          </w:p>
        </w:tc>
        <w:tc>
          <w:tcPr>
            <w:tcW w:w="1276" w:type="dxa"/>
            <w:tcBorders>
              <w:left w:val="single" w:sz="4" w:space="0" w:color="000000"/>
              <w:bottom w:val="single" w:sz="4" w:space="0" w:color="auto"/>
            </w:tcBorders>
            <w:vAlign w:val="center"/>
          </w:tcPr>
          <w:p w:rsidR="001D6AFD" w:rsidRPr="00143239" w:rsidRDefault="001D6AFD" w:rsidP="00812346">
            <w:pPr>
              <w:snapToGrid w:val="0"/>
              <w:jc w:val="center"/>
              <w:rPr>
                <w:sz w:val="24"/>
                <w:szCs w:val="24"/>
              </w:rPr>
            </w:pPr>
            <w:r w:rsidRPr="00143239">
              <w:rPr>
                <w:iCs/>
                <w:sz w:val="24"/>
                <w:szCs w:val="24"/>
              </w:rPr>
              <w:t>%</w:t>
            </w:r>
          </w:p>
        </w:tc>
        <w:tc>
          <w:tcPr>
            <w:tcW w:w="1559" w:type="dxa"/>
            <w:tcBorders>
              <w:left w:val="single" w:sz="4" w:space="0" w:color="000000"/>
              <w:bottom w:val="single" w:sz="4" w:space="0" w:color="auto"/>
            </w:tcBorders>
            <w:vAlign w:val="center"/>
          </w:tcPr>
          <w:p w:rsidR="001D6AFD" w:rsidRPr="00143239" w:rsidRDefault="001D6AFD" w:rsidP="00812346">
            <w:pPr>
              <w:snapToGrid w:val="0"/>
              <w:jc w:val="center"/>
              <w:rPr>
                <w:sz w:val="24"/>
                <w:szCs w:val="24"/>
              </w:rPr>
            </w:pPr>
            <w:r>
              <w:rPr>
                <w:sz w:val="24"/>
                <w:szCs w:val="24"/>
              </w:rPr>
              <w:t>30,9</w:t>
            </w:r>
          </w:p>
        </w:tc>
        <w:tc>
          <w:tcPr>
            <w:tcW w:w="1276" w:type="dxa"/>
            <w:tcBorders>
              <w:left w:val="single" w:sz="4" w:space="0" w:color="000000"/>
              <w:bottom w:val="single" w:sz="4" w:space="0" w:color="auto"/>
            </w:tcBorders>
            <w:vAlign w:val="center"/>
          </w:tcPr>
          <w:p w:rsidR="001D6AFD" w:rsidRPr="00143239" w:rsidRDefault="001D6AFD" w:rsidP="00812346">
            <w:pPr>
              <w:snapToGrid w:val="0"/>
              <w:jc w:val="center"/>
              <w:rPr>
                <w:iCs/>
                <w:sz w:val="24"/>
                <w:szCs w:val="24"/>
              </w:rPr>
            </w:pPr>
            <w:r>
              <w:rPr>
                <w:sz w:val="24"/>
                <w:szCs w:val="24"/>
              </w:rPr>
              <w:t>31,0</w:t>
            </w:r>
          </w:p>
        </w:tc>
        <w:tc>
          <w:tcPr>
            <w:tcW w:w="1276" w:type="dxa"/>
            <w:tcBorders>
              <w:left w:val="single" w:sz="4" w:space="0" w:color="000000"/>
              <w:bottom w:val="single" w:sz="4" w:space="0" w:color="auto"/>
              <w:right w:val="single" w:sz="4" w:space="0" w:color="000000"/>
            </w:tcBorders>
            <w:vAlign w:val="center"/>
          </w:tcPr>
          <w:p w:rsidR="001D6AFD" w:rsidRPr="00143239" w:rsidRDefault="001D6AFD" w:rsidP="00812346">
            <w:pPr>
              <w:snapToGrid w:val="0"/>
              <w:jc w:val="center"/>
              <w:rPr>
                <w:sz w:val="24"/>
                <w:szCs w:val="24"/>
              </w:rPr>
            </w:pPr>
            <w:r>
              <w:rPr>
                <w:iCs/>
                <w:sz w:val="24"/>
                <w:szCs w:val="24"/>
              </w:rPr>
              <w:t>34,5</w:t>
            </w:r>
          </w:p>
        </w:tc>
      </w:tr>
      <w:tr w:rsidR="001D6AFD" w:rsidRPr="005A34F1" w:rsidTr="00812346">
        <w:trPr>
          <w:trHeight w:val="708"/>
        </w:trPr>
        <w:tc>
          <w:tcPr>
            <w:tcW w:w="3969" w:type="dxa"/>
            <w:tcBorders>
              <w:top w:val="single" w:sz="4" w:space="0" w:color="auto"/>
              <w:left w:val="single" w:sz="4" w:space="0" w:color="000000"/>
              <w:bottom w:val="single" w:sz="4" w:space="0" w:color="000000"/>
            </w:tcBorders>
            <w:vAlign w:val="center"/>
          </w:tcPr>
          <w:p w:rsidR="001D6AFD" w:rsidRPr="00143239" w:rsidRDefault="001D6AFD" w:rsidP="00812346">
            <w:pPr>
              <w:snapToGrid w:val="0"/>
              <w:rPr>
                <w:iCs/>
                <w:sz w:val="24"/>
                <w:szCs w:val="24"/>
              </w:rPr>
            </w:pPr>
            <w:r w:rsidRPr="00143239">
              <w:rPr>
                <w:sz w:val="24"/>
                <w:szCs w:val="24"/>
              </w:rPr>
              <w:t>Количество спортивных сооружений</w:t>
            </w:r>
          </w:p>
        </w:tc>
        <w:tc>
          <w:tcPr>
            <w:tcW w:w="1276" w:type="dxa"/>
            <w:tcBorders>
              <w:top w:val="single" w:sz="4" w:space="0" w:color="auto"/>
              <w:left w:val="single" w:sz="4" w:space="0" w:color="000000"/>
              <w:bottom w:val="single" w:sz="4" w:space="0" w:color="000000"/>
            </w:tcBorders>
            <w:vAlign w:val="center"/>
          </w:tcPr>
          <w:p w:rsidR="001D6AFD" w:rsidRPr="00143239" w:rsidRDefault="001D6AFD" w:rsidP="00812346">
            <w:pPr>
              <w:snapToGrid w:val="0"/>
              <w:jc w:val="center"/>
              <w:rPr>
                <w:sz w:val="24"/>
                <w:szCs w:val="24"/>
              </w:rPr>
            </w:pPr>
            <w:r w:rsidRPr="00143239">
              <w:rPr>
                <w:iCs/>
                <w:sz w:val="24"/>
                <w:szCs w:val="24"/>
              </w:rPr>
              <w:t>ед.</w:t>
            </w:r>
          </w:p>
        </w:tc>
        <w:tc>
          <w:tcPr>
            <w:tcW w:w="1559" w:type="dxa"/>
            <w:tcBorders>
              <w:top w:val="single" w:sz="4" w:space="0" w:color="auto"/>
              <w:left w:val="single" w:sz="4" w:space="0" w:color="000000"/>
              <w:bottom w:val="single" w:sz="4" w:space="0" w:color="000000"/>
            </w:tcBorders>
            <w:vAlign w:val="center"/>
          </w:tcPr>
          <w:p w:rsidR="001D6AFD" w:rsidRPr="00143239" w:rsidRDefault="001D6AFD" w:rsidP="00812346">
            <w:pPr>
              <w:snapToGrid w:val="0"/>
              <w:jc w:val="center"/>
              <w:rPr>
                <w:sz w:val="24"/>
                <w:szCs w:val="24"/>
              </w:rPr>
            </w:pPr>
            <w:r>
              <w:rPr>
                <w:sz w:val="24"/>
                <w:szCs w:val="24"/>
              </w:rPr>
              <w:t>767</w:t>
            </w:r>
          </w:p>
        </w:tc>
        <w:tc>
          <w:tcPr>
            <w:tcW w:w="1276" w:type="dxa"/>
            <w:tcBorders>
              <w:top w:val="single" w:sz="4" w:space="0" w:color="auto"/>
              <w:left w:val="single" w:sz="4" w:space="0" w:color="000000"/>
              <w:bottom w:val="single" w:sz="4" w:space="0" w:color="000000"/>
            </w:tcBorders>
            <w:vAlign w:val="center"/>
          </w:tcPr>
          <w:p w:rsidR="001D6AFD" w:rsidRPr="00143239" w:rsidRDefault="001D6AFD" w:rsidP="00812346">
            <w:pPr>
              <w:snapToGrid w:val="0"/>
              <w:jc w:val="center"/>
              <w:rPr>
                <w:sz w:val="24"/>
                <w:szCs w:val="24"/>
              </w:rPr>
            </w:pPr>
            <w:r>
              <w:rPr>
                <w:sz w:val="24"/>
                <w:szCs w:val="24"/>
              </w:rPr>
              <w:t>769</w:t>
            </w:r>
          </w:p>
        </w:tc>
        <w:tc>
          <w:tcPr>
            <w:tcW w:w="1276" w:type="dxa"/>
            <w:tcBorders>
              <w:top w:val="single" w:sz="4" w:space="0" w:color="auto"/>
              <w:left w:val="single" w:sz="4" w:space="0" w:color="000000"/>
              <w:bottom w:val="single" w:sz="4" w:space="0" w:color="000000"/>
              <w:right w:val="single" w:sz="4" w:space="0" w:color="000000"/>
            </w:tcBorders>
            <w:vAlign w:val="center"/>
          </w:tcPr>
          <w:p w:rsidR="001D6AFD" w:rsidRPr="00143239" w:rsidRDefault="001D6AFD" w:rsidP="00812346">
            <w:pPr>
              <w:snapToGrid w:val="0"/>
              <w:jc w:val="center"/>
              <w:rPr>
                <w:sz w:val="24"/>
                <w:szCs w:val="24"/>
              </w:rPr>
            </w:pPr>
            <w:r>
              <w:rPr>
                <w:sz w:val="24"/>
                <w:szCs w:val="24"/>
              </w:rPr>
              <w:t>784</w:t>
            </w:r>
          </w:p>
        </w:tc>
      </w:tr>
    </w:tbl>
    <w:p w:rsidR="001D6AFD" w:rsidRPr="005A34F1" w:rsidRDefault="001D6AFD" w:rsidP="001D6AFD">
      <w:pPr>
        <w:pStyle w:val="Textbodyindent"/>
        <w:spacing w:after="0"/>
        <w:ind w:left="0" w:firstLine="709"/>
        <w:jc w:val="both"/>
        <w:rPr>
          <w:rFonts w:ascii="Times New Roman" w:hAnsi="Times New Roman" w:cs="Times New Roman"/>
          <w:kern w:val="0"/>
          <w:sz w:val="24"/>
          <w:szCs w:val="24"/>
          <w:highlight w:val="yellow"/>
          <w:lang w:eastAsia="ar-SA"/>
        </w:rPr>
      </w:pPr>
    </w:p>
    <w:p w:rsidR="001D6AFD" w:rsidRDefault="001D6AFD" w:rsidP="001D6AFD">
      <w:pPr>
        <w:pStyle w:val="Textbodyindent"/>
        <w:spacing w:after="0"/>
        <w:ind w:left="0" w:firstLine="709"/>
        <w:jc w:val="both"/>
        <w:rPr>
          <w:rFonts w:ascii="Times New Roman" w:hAnsi="Times New Roman" w:cs="Times New Roman"/>
          <w:kern w:val="0"/>
          <w:sz w:val="24"/>
          <w:szCs w:val="24"/>
          <w:lang w:eastAsia="ar-SA"/>
        </w:rPr>
      </w:pPr>
      <w:r w:rsidRPr="00EB3CED">
        <w:rPr>
          <w:rFonts w:ascii="Times New Roman" w:hAnsi="Times New Roman" w:cs="Times New Roman"/>
          <w:kern w:val="0"/>
          <w:sz w:val="24"/>
          <w:szCs w:val="24"/>
          <w:lang w:eastAsia="ar-SA"/>
        </w:rPr>
        <w:t>Удельный вес населения, систематически занимающегося физической культурой и спортом в 2017 году</w:t>
      </w:r>
      <w:r w:rsidR="00524183">
        <w:rPr>
          <w:rFonts w:ascii="Times New Roman" w:hAnsi="Times New Roman" w:cs="Times New Roman"/>
          <w:kern w:val="0"/>
          <w:sz w:val="24"/>
          <w:szCs w:val="24"/>
          <w:lang w:eastAsia="ar-SA"/>
        </w:rPr>
        <w:t xml:space="preserve"> скорректирован в сторону увеличения</w:t>
      </w:r>
      <w:r w:rsidRPr="00EB3CED">
        <w:rPr>
          <w:rFonts w:ascii="Times New Roman" w:hAnsi="Times New Roman" w:cs="Times New Roman"/>
          <w:kern w:val="0"/>
          <w:sz w:val="24"/>
          <w:szCs w:val="24"/>
          <w:lang w:eastAsia="ar-SA"/>
        </w:rPr>
        <w:t xml:space="preserve"> до 34,5</w:t>
      </w:r>
      <w:r w:rsidR="00524183">
        <w:rPr>
          <w:rFonts w:ascii="Times New Roman" w:hAnsi="Times New Roman" w:cs="Times New Roman"/>
          <w:kern w:val="0"/>
          <w:sz w:val="24"/>
          <w:szCs w:val="24"/>
          <w:lang w:eastAsia="ar-SA"/>
        </w:rPr>
        <w:t xml:space="preserve"> %</w:t>
      </w:r>
      <w:r w:rsidRPr="00EB3CED">
        <w:rPr>
          <w:rFonts w:ascii="Times New Roman" w:hAnsi="Times New Roman" w:cs="Times New Roman"/>
          <w:kern w:val="0"/>
          <w:sz w:val="24"/>
          <w:szCs w:val="24"/>
          <w:lang w:eastAsia="ar-SA"/>
        </w:rPr>
        <w:t xml:space="preserve">. </w:t>
      </w:r>
    </w:p>
    <w:p w:rsidR="00A94169" w:rsidRDefault="00A94169" w:rsidP="00A94169">
      <w:pPr>
        <w:widowControl w:val="0"/>
        <w:spacing w:line="276" w:lineRule="auto"/>
        <w:ind w:firstLine="709"/>
        <w:jc w:val="both"/>
        <w:rPr>
          <w:sz w:val="24"/>
          <w:szCs w:val="24"/>
        </w:rPr>
      </w:pPr>
      <w:r>
        <w:rPr>
          <w:sz w:val="24"/>
          <w:szCs w:val="24"/>
        </w:rPr>
        <w:t>К</w:t>
      </w:r>
      <w:r w:rsidRPr="005D193E">
        <w:rPr>
          <w:sz w:val="24"/>
          <w:szCs w:val="24"/>
        </w:rPr>
        <w:t>оличество спортивных сооружений в 2017 году</w:t>
      </w:r>
      <w:r>
        <w:rPr>
          <w:sz w:val="24"/>
          <w:szCs w:val="24"/>
        </w:rPr>
        <w:t>, по оценке,</w:t>
      </w:r>
      <w:r w:rsidRPr="005D193E">
        <w:rPr>
          <w:sz w:val="24"/>
          <w:szCs w:val="24"/>
        </w:rPr>
        <w:t xml:space="preserve"> составит 784 ед. Увеличение количества спортивных сооружений по сравнению с аналогичным периодом 201</w:t>
      </w:r>
      <w:r>
        <w:rPr>
          <w:sz w:val="24"/>
          <w:szCs w:val="24"/>
        </w:rPr>
        <w:t>6</w:t>
      </w:r>
      <w:r w:rsidRPr="005D193E">
        <w:rPr>
          <w:sz w:val="24"/>
          <w:szCs w:val="24"/>
        </w:rPr>
        <w:t xml:space="preserve"> года на </w:t>
      </w:r>
      <w:r>
        <w:rPr>
          <w:sz w:val="24"/>
          <w:szCs w:val="24"/>
        </w:rPr>
        <w:t>8 ед.</w:t>
      </w:r>
      <w:r w:rsidRPr="005D193E">
        <w:rPr>
          <w:sz w:val="24"/>
          <w:szCs w:val="24"/>
        </w:rPr>
        <w:t xml:space="preserve"> связано с вводом в эксплуатацию спортивных сооружений, их паспортизацией (9 объектов: из них 7 ед. - плоскостные спортивные сооружения и 2 ед. бассейна).</w:t>
      </w:r>
    </w:p>
    <w:p w:rsidR="00A50BA4" w:rsidRPr="005A34F1" w:rsidRDefault="00A50BA4" w:rsidP="00374742">
      <w:pPr>
        <w:pStyle w:val="Textbodyindent"/>
        <w:spacing w:after="0"/>
        <w:ind w:left="0"/>
        <w:jc w:val="center"/>
        <w:rPr>
          <w:rFonts w:ascii="Times New Roman" w:hAnsi="Times New Roman" w:cs="Times New Roman"/>
          <w:b/>
          <w:kern w:val="0"/>
          <w:sz w:val="24"/>
          <w:szCs w:val="24"/>
          <w:highlight w:val="yellow"/>
          <w:lang w:eastAsia="ar-SA"/>
        </w:rPr>
      </w:pPr>
    </w:p>
    <w:p w:rsidR="00A50BA4" w:rsidRPr="004647B1" w:rsidRDefault="00A50BA4" w:rsidP="00C438A0">
      <w:pPr>
        <w:pStyle w:val="Textbodyindent"/>
        <w:spacing w:after="0"/>
        <w:ind w:left="0"/>
        <w:jc w:val="center"/>
        <w:rPr>
          <w:rFonts w:ascii="Times New Roman" w:hAnsi="Times New Roman" w:cs="Times New Roman"/>
          <w:b/>
          <w:kern w:val="0"/>
          <w:sz w:val="24"/>
          <w:szCs w:val="24"/>
          <w:lang w:eastAsia="ar-SA"/>
        </w:rPr>
      </w:pPr>
      <w:r w:rsidRPr="004647B1">
        <w:rPr>
          <w:rFonts w:ascii="Times New Roman" w:hAnsi="Times New Roman" w:cs="Times New Roman"/>
          <w:b/>
          <w:kern w:val="0"/>
          <w:sz w:val="24"/>
          <w:szCs w:val="24"/>
          <w:lang w:eastAsia="ar-SA"/>
        </w:rPr>
        <w:t>Потребительский рынок товаров и услуг</w:t>
      </w:r>
    </w:p>
    <w:p w:rsidR="00A50BA4" w:rsidRDefault="00A50BA4" w:rsidP="00C9408C">
      <w:pPr>
        <w:pStyle w:val="Textbodyindent"/>
        <w:spacing w:after="0"/>
        <w:ind w:left="0" w:firstLine="709"/>
        <w:jc w:val="center"/>
        <w:rPr>
          <w:rFonts w:ascii="Times New Roman" w:hAnsi="Times New Roman" w:cs="Times New Roman"/>
          <w:b/>
          <w:kern w:val="0"/>
          <w:sz w:val="24"/>
          <w:szCs w:val="24"/>
          <w:highlight w:val="yellow"/>
          <w:lang w:eastAsia="ar-SA"/>
        </w:rPr>
      </w:pPr>
    </w:p>
    <w:p w:rsidR="00A50BA4" w:rsidRPr="0005237A" w:rsidRDefault="00A50BA4" w:rsidP="00AD29B1">
      <w:pPr>
        <w:pStyle w:val="aff1"/>
        <w:spacing w:line="276" w:lineRule="auto"/>
        <w:rPr>
          <w:sz w:val="24"/>
          <w:szCs w:val="24"/>
          <w:shd w:val="clear" w:color="auto" w:fill="FFFFFF"/>
        </w:rPr>
      </w:pPr>
      <w:r w:rsidRPr="0005237A">
        <w:rPr>
          <w:sz w:val="24"/>
          <w:szCs w:val="24"/>
          <w:shd w:val="clear" w:color="auto" w:fill="FFFFFF"/>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A50BA4" w:rsidRPr="009F741B" w:rsidRDefault="00A50BA4" w:rsidP="00AD29B1">
      <w:pPr>
        <w:pStyle w:val="aff1"/>
        <w:spacing w:line="276" w:lineRule="auto"/>
        <w:rPr>
          <w:sz w:val="24"/>
          <w:szCs w:val="24"/>
          <w:shd w:val="clear" w:color="auto" w:fill="FFFFFF"/>
        </w:rPr>
      </w:pPr>
      <w:r w:rsidRPr="009F741B">
        <w:rPr>
          <w:sz w:val="24"/>
          <w:szCs w:val="24"/>
          <w:shd w:val="clear" w:color="auto" w:fill="FFFFFF"/>
        </w:rPr>
        <w:t>По состоянию на 01.07.201</w:t>
      </w:r>
      <w:r w:rsidR="0005237A" w:rsidRPr="009F741B">
        <w:rPr>
          <w:sz w:val="24"/>
          <w:szCs w:val="24"/>
          <w:shd w:val="clear" w:color="auto" w:fill="FFFFFF"/>
        </w:rPr>
        <w:t>7</w:t>
      </w:r>
      <w:r w:rsidRPr="009F741B">
        <w:rPr>
          <w:sz w:val="24"/>
          <w:szCs w:val="24"/>
          <w:shd w:val="clear" w:color="auto" w:fill="FFFFFF"/>
        </w:rPr>
        <w:t xml:space="preserve"> г. в городском округе Тольятти действуют </w:t>
      </w:r>
      <w:r w:rsidR="009F741B" w:rsidRPr="009F741B">
        <w:rPr>
          <w:sz w:val="24"/>
          <w:szCs w:val="24"/>
          <w:shd w:val="clear" w:color="auto" w:fill="FFFFFF"/>
        </w:rPr>
        <w:t>более</w:t>
      </w:r>
      <w:r w:rsidRPr="009F741B">
        <w:rPr>
          <w:sz w:val="24"/>
          <w:szCs w:val="24"/>
          <w:shd w:val="clear" w:color="auto" w:fill="FFFFFF"/>
        </w:rPr>
        <w:t xml:space="preserve"> 10 тыс. предприятий торговли, более 0,7 тыс. предприятий общественного питания, около 2,0 тыс. предприятий бытового обслуживания населения, более 120 торговых комплексов, </w:t>
      </w:r>
      <w:r w:rsidR="009F741B" w:rsidRPr="009F741B">
        <w:rPr>
          <w:sz w:val="24"/>
          <w:szCs w:val="24"/>
          <w:shd w:val="clear" w:color="auto" w:fill="FFFFFF"/>
        </w:rPr>
        <w:t>5</w:t>
      </w:r>
      <w:r w:rsidRPr="009F741B">
        <w:rPr>
          <w:sz w:val="24"/>
          <w:szCs w:val="24"/>
          <w:shd w:val="clear" w:color="auto" w:fill="FFFFFF"/>
        </w:rPr>
        <w:t xml:space="preserve"> рынков с разрешениями на право организации розничных рынков.</w:t>
      </w:r>
    </w:p>
    <w:p w:rsidR="00A50BA4" w:rsidRPr="009F741B" w:rsidRDefault="00A50BA4" w:rsidP="00AD29B1">
      <w:pPr>
        <w:spacing w:line="276" w:lineRule="auto"/>
        <w:ind w:right="-1" w:firstLine="709"/>
        <w:jc w:val="both"/>
        <w:rPr>
          <w:sz w:val="24"/>
          <w:szCs w:val="24"/>
          <w:shd w:val="clear" w:color="auto" w:fill="FFFFFF"/>
        </w:rPr>
      </w:pPr>
      <w:r w:rsidRPr="009F741B">
        <w:rPr>
          <w:sz w:val="24"/>
          <w:szCs w:val="24"/>
          <w:shd w:val="clear" w:color="auto" w:fill="FFFFFF"/>
        </w:rPr>
        <w:t>Продолжается развитие крупных торговых центров, включающих в себя множество магазинов, предприятий питания, сф</w:t>
      </w:r>
      <w:r w:rsidR="009F741B" w:rsidRPr="009F741B">
        <w:rPr>
          <w:sz w:val="24"/>
          <w:szCs w:val="24"/>
          <w:shd w:val="clear" w:color="auto" w:fill="FFFFFF"/>
        </w:rPr>
        <w:t>еры услуг, досуга и развлечений</w:t>
      </w:r>
      <w:r w:rsidRPr="009F741B">
        <w:rPr>
          <w:sz w:val="24"/>
          <w:szCs w:val="24"/>
          <w:shd w:val="clear" w:color="auto" w:fill="FFFFFF"/>
        </w:rPr>
        <w:t>: ТРК «Русь на Волге», TРК «Парк Хаус», ТЦ «Мадагаскар», ТЦ «Апельсин», ООО «Мегастрой» и др.</w:t>
      </w:r>
      <w:r w:rsidR="009F741B">
        <w:rPr>
          <w:sz w:val="24"/>
          <w:szCs w:val="24"/>
          <w:shd w:val="clear" w:color="auto" w:fill="FFFFFF"/>
        </w:rPr>
        <w:t xml:space="preserve"> В отчетном периоде состоялось открытие нового торгового центра «Акварель», в котором в свою очередь открылся гипермаркет «Ашан», общей площадью более 13 тыс. кв. м, который позволили создать более 300 новых рабочих мест.</w:t>
      </w:r>
    </w:p>
    <w:p w:rsidR="00A50BA4" w:rsidRPr="009F741B" w:rsidRDefault="00A50BA4" w:rsidP="00AD29B1">
      <w:pPr>
        <w:pStyle w:val="1f"/>
        <w:spacing w:line="276" w:lineRule="auto"/>
        <w:ind w:firstLine="720"/>
        <w:jc w:val="both"/>
        <w:rPr>
          <w:rFonts w:ascii="Times New Roman" w:hAnsi="Times New Roman" w:cs="Times New Roman"/>
          <w:sz w:val="24"/>
          <w:szCs w:val="24"/>
          <w:shd w:val="clear" w:color="auto" w:fill="FFFFFF"/>
        </w:rPr>
      </w:pPr>
      <w:r w:rsidRPr="009F741B">
        <w:rPr>
          <w:rFonts w:ascii="Times New Roman" w:hAnsi="Times New Roman" w:cs="Times New Roman"/>
          <w:sz w:val="24"/>
          <w:szCs w:val="24"/>
          <w:shd w:val="clear" w:color="auto" w:fill="FFFFFF"/>
        </w:rPr>
        <w:t>В 1 полугодии 201</w:t>
      </w:r>
      <w:r w:rsidR="0036741E">
        <w:rPr>
          <w:rFonts w:ascii="Times New Roman" w:hAnsi="Times New Roman" w:cs="Times New Roman"/>
          <w:sz w:val="24"/>
          <w:szCs w:val="24"/>
          <w:shd w:val="clear" w:color="auto" w:fill="FFFFFF"/>
        </w:rPr>
        <w:t>7</w:t>
      </w:r>
      <w:r w:rsidRPr="009F741B">
        <w:rPr>
          <w:rFonts w:ascii="Times New Roman" w:hAnsi="Times New Roman" w:cs="Times New Roman"/>
          <w:sz w:val="24"/>
          <w:szCs w:val="24"/>
          <w:shd w:val="clear" w:color="auto" w:fill="FFFFFF"/>
        </w:rPr>
        <w:t xml:space="preserve"> года в городском округе хозяйственную дея</w:t>
      </w:r>
      <w:r w:rsidR="009F741B" w:rsidRPr="009F741B">
        <w:rPr>
          <w:rFonts w:ascii="Times New Roman" w:hAnsi="Times New Roman" w:cs="Times New Roman"/>
          <w:sz w:val="24"/>
          <w:szCs w:val="24"/>
          <w:shd w:val="clear" w:color="auto" w:fill="FFFFFF"/>
        </w:rPr>
        <w:t>тельность начали осуществлять 141</w:t>
      </w:r>
      <w:r w:rsidRPr="009F741B">
        <w:rPr>
          <w:rFonts w:ascii="Times New Roman" w:hAnsi="Times New Roman" w:cs="Times New Roman"/>
          <w:sz w:val="24"/>
          <w:szCs w:val="24"/>
          <w:shd w:val="clear" w:color="auto" w:fill="FFFFFF"/>
        </w:rPr>
        <w:t xml:space="preserve"> вновь созданн</w:t>
      </w:r>
      <w:r w:rsidR="009F741B" w:rsidRPr="009F741B">
        <w:rPr>
          <w:rFonts w:ascii="Times New Roman" w:hAnsi="Times New Roman" w:cs="Times New Roman"/>
          <w:sz w:val="24"/>
          <w:szCs w:val="24"/>
          <w:shd w:val="clear" w:color="auto" w:fill="FFFFFF"/>
        </w:rPr>
        <w:t>ое</w:t>
      </w:r>
      <w:r w:rsidRPr="009F741B">
        <w:rPr>
          <w:rFonts w:ascii="Times New Roman" w:hAnsi="Times New Roman" w:cs="Times New Roman"/>
          <w:sz w:val="24"/>
          <w:szCs w:val="24"/>
          <w:shd w:val="clear" w:color="auto" w:fill="FFFFFF"/>
        </w:rPr>
        <w:t xml:space="preserve"> предприяти</w:t>
      </w:r>
      <w:r w:rsidR="009F741B" w:rsidRPr="009F741B">
        <w:rPr>
          <w:rFonts w:ascii="Times New Roman" w:hAnsi="Times New Roman" w:cs="Times New Roman"/>
          <w:sz w:val="24"/>
          <w:szCs w:val="24"/>
          <w:shd w:val="clear" w:color="auto" w:fill="FFFFFF"/>
        </w:rPr>
        <w:t>е</w:t>
      </w:r>
      <w:r w:rsidRPr="009F741B">
        <w:rPr>
          <w:rFonts w:ascii="Times New Roman" w:hAnsi="Times New Roman" w:cs="Times New Roman"/>
          <w:sz w:val="24"/>
          <w:szCs w:val="24"/>
          <w:shd w:val="clear" w:color="auto" w:fill="FFFFFF"/>
        </w:rPr>
        <w:t xml:space="preserve"> торговли</w:t>
      </w:r>
      <w:r w:rsidR="001837CB">
        <w:rPr>
          <w:rFonts w:ascii="Times New Roman" w:hAnsi="Times New Roman" w:cs="Times New Roman"/>
          <w:sz w:val="24"/>
          <w:szCs w:val="24"/>
          <w:shd w:val="clear" w:color="auto" w:fill="FFFFFF"/>
        </w:rPr>
        <w:t xml:space="preserve">, создано </w:t>
      </w:r>
      <w:r w:rsidR="009F741B" w:rsidRPr="009F741B">
        <w:rPr>
          <w:rFonts w:ascii="Times New Roman" w:hAnsi="Times New Roman" w:cs="Times New Roman"/>
          <w:sz w:val="24"/>
          <w:szCs w:val="24"/>
          <w:shd w:val="clear" w:color="auto" w:fill="FFFFFF"/>
        </w:rPr>
        <w:t>55</w:t>
      </w:r>
      <w:r w:rsidRPr="009F741B">
        <w:rPr>
          <w:rFonts w:ascii="Times New Roman" w:hAnsi="Times New Roman" w:cs="Times New Roman"/>
          <w:sz w:val="24"/>
          <w:szCs w:val="24"/>
          <w:shd w:val="clear" w:color="auto" w:fill="FFFFFF"/>
        </w:rPr>
        <w:t>6 постоянных и временных рабочих мест</w:t>
      </w:r>
      <w:r w:rsidR="001837CB">
        <w:rPr>
          <w:rFonts w:ascii="Times New Roman" w:hAnsi="Times New Roman" w:cs="Times New Roman"/>
          <w:sz w:val="24"/>
          <w:szCs w:val="24"/>
          <w:shd w:val="clear" w:color="auto" w:fill="FFFFFF"/>
        </w:rPr>
        <w:t xml:space="preserve"> (</w:t>
      </w:r>
      <w:r w:rsidR="002167C7">
        <w:rPr>
          <w:rFonts w:ascii="Times New Roman" w:hAnsi="Times New Roman" w:cs="Times New Roman"/>
          <w:sz w:val="24"/>
          <w:szCs w:val="24"/>
          <w:shd w:val="clear" w:color="auto" w:fill="FFFFFF"/>
        </w:rPr>
        <w:t>на основании зарегистрированных книг отзывов и предложений и заключенных договоров на размещение и эксплуатацию нестационарных торговых объектов</w:t>
      </w:r>
      <w:r w:rsidR="00942759" w:rsidRPr="00942759">
        <w:rPr>
          <w:rFonts w:ascii="Times New Roman" w:hAnsi="Times New Roman" w:cs="Times New Roman"/>
          <w:sz w:val="24"/>
          <w:szCs w:val="24"/>
          <w:shd w:val="clear" w:color="auto" w:fill="FFFFFF"/>
        </w:rPr>
        <w:t>)</w:t>
      </w:r>
      <w:r w:rsidRPr="00942759">
        <w:rPr>
          <w:rFonts w:ascii="Times New Roman" w:hAnsi="Times New Roman" w:cs="Times New Roman"/>
          <w:sz w:val="24"/>
          <w:szCs w:val="24"/>
          <w:shd w:val="clear" w:color="auto" w:fill="FFFFFF"/>
        </w:rPr>
        <w:t>.</w:t>
      </w:r>
    </w:p>
    <w:p w:rsidR="00A50BA4" w:rsidRPr="009F741B" w:rsidRDefault="00A50BA4" w:rsidP="00AD29B1">
      <w:pPr>
        <w:pStyle w:val="aff1"/>
        <w:spacing w:line="276" w:lineRule="auto"/>
        <w:rPr>
          <w:sz w:val="24"/>
          <w:szCs w:val="24"/>
          <w:shd w:val="clear" w:color="auto" w:fill="FFFFFF"/>
        </w:rPr>
      </w:pPr>
      <w:r w:rsidRPr="009F741B">
        <w:rPr>
          <w:sz w:val="24"/>
          <w:szCs w:val="24"/>
          <w:shd w:val="clear" w:color="auto" w:fill="FFFFFF"/>
        </w:rPr>
        <w:t>В январе – июне 201</w:t>
      </w:r>
      <w:r w:rsidR="009F741B" w:rsidRPr="009F741B">
        <w:rPr>
          <w:sz w:val="24"/>
          <w:szCs w:val="24"/>
          <w:shd w:val="clear" w:color="auto" w:fill="FFFFFF"/>
        </w:rPr>
        <w:t>7</w:t>
      </w:r>
      <w:r w:rsidRPr="009F741B">
        <w:rPr>
          <w:sz w:val="24"/>
          <w:szCs w:val="24"/>
          <w:shd w:val="clear" w:color="auto" w:fill="FFFFFF"/>
        </w:rPr>
        <w:t xml:space="preserve"> года осуществляли работу </w:t>
      </w:r>
      <w:r w:rsidR="009F741B" w:rsidRPr="009F741B">
        <w:rPr>
          <w:sz w:val="24"/>
          <w:szCs w:val="24"/>
          <w:shd w:val="clear" w:color="auto" w:fill="FFFFFF"/>
        </w:rPr>
        <w:t>19</w:t>
      </w:r>
      <w:r w:rsidRPr="009F741B">
        <w:rPr>
          <w:sz w:val="24"/>
          <w:szCs w:val="24"/>
          <w:shd w:val="clear" w:color="auto" w:fill="FFFFFF"/>
        </w:rPr>
        <w:t xml:space="preserve"> ярмар</w:t>
      </w:r>
      <w:r w:rsidR="009F741B" w:rsidRPr="009F741B">
        <w:rPr>
          <w:sz w:val="24"/>
          <w:szCs w:val="24"/>
          <w:shd w:val="clear" w:color="auto" w:fill="FFFFFF"/>
        </w:rPr>
        <w:t>о</w:t>
      </w:r>
      <w:r w:rsidRPr="009F741B">
        <w:rPr>
          <w:sz w:val="24"/>
          <w:szCs w:val="24"/>
          <w:shd w:val="clear" w:color="auto" w:fill="FFFFFF"/>
        </w:rPr>
        <w:t>к</w:t>
      </w:r>
      <w:r w:rsidR="009F741B" w:rsidRPr="009F741B">
        <w:rPr>
          <w:sz w:val="24"/>
          <w:szCs w:val="24"/>
          <w:shd w:val="clear" w:color="auto" w:fill="FFFFFF"/>
        </w:rPr>
        <w:t>, включенных</w:t>
      </w:r>
      <w:r w:rsidRPr="009F741B">
        <w:rPr>
          <w:sz w:val="24"/>
          <w:szCs w:val="24"/>
          <w:shd w:val="clear" w:color="auto" w:fill="FFFFFF"/>
        </w:rPr>
        <w:t xml:space="preserve"> в реестр Самарской области</w:t>
      </w:r>
      <w:r w:rsidR="001837CB">
        <w:rPr>
          <w:sz w:val="24"/>
          <w:szCs w:val="24"/>
          <w:shd w:val="clear" w:color="auto" w:fill="FFFFFF"/>
        </w:rPr>
        <w:t xml:space="preserve"> </w:t>
      </w:r>
      <w:r w:rsidR="001837CB" w:rsidRPr="00942759">
        <w:rPr>
          <w:sz w:val="24"/>
          <w:szCs w:val="24"/>
          <w:shd w:val="clear" w:color="auto" w:fill="FFFFFF"/>
        </w:rPr>
        <w:t xml:space="preserve">(в 2016 году – </w:t>
      </w:r>
      <w:r w:rsidR="00942759" w:rsidRPr="00942759">
        <w:rPr>
          <w:sz w:val="24"/>
          <w:szCs w:val="24"/>
          <w:shd w:val="clear" w:color="auto" w:fill="FFFFFF"/>
        </w:rPr>
        <w:t xml:space="preserve">23 </w:t>
      </w:r>
      <w:r w:rsidR="001837CB" w:rsidRPr="00942759">
        <w:rPr>
          <w:sz w:val="24"/>
          <w:szCs w:val="24"/>
          <w:shd w:val="clear" w:color="auto" w:fill="FFFFFF"/>
        </w:rPr>
        <w:t>ярмарк</w:t>
      </w:r>
      <w:r w:rsidR="00942759" w:rsidRPr="00942759">
        <w:rPr>
          <w:sz w:val="24"/>
          <w:szCs w:val="24"/>
          <w:shd w:val="clear" w:color="auto" w:fill="FFFFFF"/>
        </w:rPr>
        <w:t>и</w:t>
      </w:r>
      <w:r w:rsidR="001837CB" w:rsidRPr="00942759">
        <w:rPr>
          <w:sz w:val="24"/>
          <w:szCs w:val="24"/>
          <w:shd w:val="clear" w:color="auto" w:fill="FFFFFF"/>
        </w:rPr>
        <w:t>)</w:t>
      </w:r>
      <w:r w:rsidRPr="00942759">
        <w:rPr>
          <w:sz w:val="24"/>
          <w:szCs w:val="24"/>
          <w:shd w:val="clear" w:color="auto" w:fill="FFFFFF"/>
        </w:rPr>
        <w:t>.</w:t>
      </w:r>
    </w:p>
    <w:p w:rsidR="00A50BA4" w:rsidRDefault="00A50BA4" w:rsidP="00AD29B1">
      <w:pPr>
        <w:pStyle w:val="aff1"/>
        <w:spacing w:line="276" w:lineRule="auto"/>
        <w:rPr>
          <w:sz w:val="24"/>
          <w:szCs w:val="24"/>
          <w:shd w:val="clear" w:color="auto" w:fill="FFFFFF"/>
        </w:rPr>
      </w:pPr>
      <w:r w:rsidRPr="009F741B">
        <w:rPr>
          <w:sz w:val="24"/>
          <w:szCs w:val="24"/>
          <w:shd w:val="clear" w:color="auto" w:fill="FFFFFF"/>
        </w:rPr>
        <w:t>Кроме того, на универсальных рынках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15 % от общего количества торговых мест, предназначенных для продажи продовольственных товаров в летнее время и 10 % в зимнее время.</w:t>
      </w:r>
    </w:p>
    <w:p w:rsidR="00FA2372" w:rsidRPr="0038334C" w:rsidRDefault="00FA2372" w:rsidP="00FA2372">
      <w:pPr>
        <w:spacing w:line="276" w:lineRule="auto"/>
        <w:ind w:firstLine="720"/>
        <w:jc w:val="both"/>
        <w:rPr>
          <w:sz w:val="24"/>
          <w:szCs w:val="24"/>
          <w:shd w:val="clear" w:color="auto" w:fill="FFFFFF"/>
        </w:rPr>
      </w:pPr>
      <w:r w:rsidRPr="0038334C">
        <w:rPr>
          <w:sz w:val="24"/>
          <w:szCs w:val="24"/>
          <w:shd w:val="clear" w:color="auto" w:fill="FFFFFF"/>
        </w:rPr>
        <w:t xml:space="preserve">Оборот розничной торговли в 1 полугодии 2017 года </w:t>
      </w:r>
      <w:r>
        <w:rPr>
          <w:sz w:val="24"/>
          <w:szCs w:val="24"/>
          <w:shd w:val="clear" w:color="auto" w:fill="FFFFFF"/>
        </w:rPr>
        <w:t>увеличился</w:t>
      </w:r>
      <w:r w:rsidRPr="0038334C">
        <w:rPr>
          <w:sz w:val="24"/>
          <w:szCs w:val="24"/>
          <w:shd w:val="clear" w:color="auto" w:fill="FFFFFF"/>
        </w:rPr>
        <w:t xml:space="preserve"> на </w:t>
      </w:r>
      <w:r w:rsidR="002167C7">
        <w:rPr>
          <w:sz w:val="24"/>
          <w:szCs w:val="24"/>
          <w:shd w:val="clear" w:color="auto" w:fill="FFFFFF"/>
        </w:rPr>
        <w:t>2</w:t>
      </w:r>
      <w:r w:rsidRPr="002167C7">
        <w:rPr>
          <w:sz w:val="24"/>
          <w:szCs w:val="24"/>
          <w:shd w:val="clear" w:color="auto" w:fill="FFFFFF"/>
        </w:rPr>
        <w:t>,</w:t>
      </w:r>
      <w:r w:rsidR="002167C7" w:rsidRPr="002167C7">
        <w:rPr>
          <w:sz w:val="24"/>
          <w:szCs w:val="24"/>
          <w:shd w:val="clear" w:color="auto" w:fill="FFFFFF"/>
        </w:rPr>
        <w:t>8</w:t>
      </w:r>
      <w:r w:rsidRPr="002167C7">
        <w:rPr>
          <w:sz w:val="24"/>
          <w:szCs w:val="24"/>
          <w:shd w:val="clear" w:color="auto" w:fill="FFFFFF"/>
        </w:rPr>
        <w:t> %</w:t>
      </w:r>
      <w:r w:rsidRPr="0038334C">
        <w:rPr>
          <w:sz w:val="24"/>
          <w:szCs w:val="24"/>
          <w:shd w:val="clear" w:color="auto" w:fill="FFFFFF"/>
        </w:rPr>
        <w:t xml:space="preserve"> в </w:t>
      </w:r>
      <w:r>
        <w:rPr>
          <w:sz w:val="24"/>
          <w:szCs w:val="24"/>
          <w:shd w:val="clear" w:color="auto" w:fill="FFFFFF"/>
        </w:rPr>
        <w:t>действующих</w:t>
      </w:r>
      <w:r w:rsidRPr="0038334C">
        <w:rPr>
          <w:sz w:val="24"/>
          <w:szCs w:val="24"/>
          <w:shd w:val="clear" w:color="auto" w:fill="FFFFFF"/>
        </w:rPr>
        <w:t xml:space="preserve"> ценах по сравнению с соответствующим периодом прошлого года и составил 83,2 млрд. руб. (</w:t>
      </w:r>
      <w:r>
        <w:rPr>
          <w:sz w:val="24"/>
          <w:szCs w:val="24"/>
          <w:shd w:val="clear" w:color="auto" w:fill="FFFFFF"/>
        </w:rPr>
        <w:t xml:space="preserve">в сопоставимых ценах показатель снизился на </w:t>
      </w:r>
      <w:r w:rsidRPr="001F76D7">
        <w:rPr>
          <w:sz w:val="24"/>
          <w:szCs w:val="24"/>
          <w:shd w:val="clear" w:color="auto" w:fill="FFFFFF"/>
        </w:rPr>
        <w:t>1,6</w:t>
      </w:r>
      <w:r>
        <w:rPr>
          <w:sz w:val="24"/>
          <w:szCs w:val="24"/>
          <w:shd w:val="clear" w:color="auto" w:fill="FFFFFF"/>
        </w:rPr>
        <w:t xml:space="preserve"> %</w:t>
      </w:r>
      <w:r w:rsidRPr="0038334C">
        <w:rPr>
          <w:sz w:val="24"/>
          <w:szCs w:val="24"/>
          <w:shd w:val="clear" w:color="auto" w:fill="FFFFFF"/>
        </w:rPr>
        <w:t xml:space="preserve">). </w:t>
      </w:r>
    </w:p>
    <w:p w:rsidR="00FA2372" w:rsidRPr="0038334C" w:rsidRDefault="00FA2372" w:rsidP="00FA2372">
      <w:pPr>
        <w:pStyle w:val="aff1"/>
        <w:spacing w:line="276" w:lineRule="auto"/>
        <w:rPr>
          <w:sz w:val="24"/>
          <w:szCs w:val="24"/>
          <w:shd w:val="clear" w:color="auto" w:fill="FFFFFF"/>
        </w:rPr>
      </w:pPr>
      <w:r w:rsidRPr="0038334C">
        <w:rPr>
          <w:sz w:val="24"/>
          <w:szCs w:val="24"/>
          <w:shd w:val="clear" w:color="auto" w:fill="FFFFFF"/>
        </w:rPr>
        <w:t xml:space="preserve">Оборот розничной торговли на душу населения в январе-июне 2016 года составил 117,2 тыс. руб. </w:t>
      </w:r>
      <w:r w:rsidRPr="004E5713">
        <w:rPr>
          <w:sz w:val="24"/>
          <w:szCs w:val="24"/>
          <w:shd w:val="clear" w:color="auto" w:fill="FFFFFF"/>
        </w:rPr>
        <w:t xml:space="preserve">(в целом по Самарской области – 91,2 тыс. руб.). </w:t>
      </w:r>
      <w:r w:rsidRPr="0038334C">
        <w:rPr>
          <w:sz w:val="24"/>
          <w:szCs w:val="24"/>
          <w:shd w:val="clear" w:color="auto" w:fill="FFFFFF"/>
        </w:rPr>
        <w:t>Основную часть оборота розничной торговли (более 60 %) формируют предприятия малого бизнеса и лица, занимающиеся индивидуальной трудовой деятельностью.</w:t>
      </w:r>
    </w:p>
    <w:p w:rsidR="00FA2372" w:rsidRDefault="00FA2372" w:rsidP="00FA2372">
      <w:pPr>
        <w:spacing w:line="276" w:lineRule="auto"/>
        <w:ind w:firstLine="708"/>
        <w:jc w:val="both"/>
        <w:rPr>
          <w:sz w:val="24"/>
          <w:szCs w:val="24"/>
          <w:shd w:val="clear" w:color="auto" w:fill="FFFFFF"/>
        </w:rPr>
      </w:pPr>
      <w:r>
        <w:rPr>
          <w:sz w:val="24"/>
          <w:szCs w:val="24"/>
          <w:shd w:val="clear" w:color="auto" w:fill="FFFFFF"/>
        </w:rPr>
        <w:t xml:space="preserve">Несмотря на </w:t>
      </w:r>
      <w:r w:rsidRPr="001F76D7">
        <w:rPr>
          <w:sz w:val="24"/>
          <w:szCs w:val="24"/>
          <w:shd w:val="clear" w:color="auto" w:fill="FFFFFF"/>
        </w:rPr>
        <w:t>адаптаци</w:t>
      </w:r>
      <w:r>
        <w:rPr>
          <w:sz w:val="24"/>
          <w:szCs w:val="24"/>
          <w:shd w:val="clear" w:color="auto" w:fill="FFFFFF"/>
        </w:rPr>
        <w:t>ю</w:t>
      </w:r>
      <w:r w:rsidRPr="001F76D7">
        <w:rPr>
          <w:sz w:val="24"/>
          <w:szCs w:val="24"/>
          <w:shd w:val="clear" w:color="auto" w:fill="FFFFFF"/>
        </w:rPr>
        <w:t xml:space="preserve"> потребительского поведения населения к экономической ситуации</w:t>
      </w:r>
      <w:r>
        <w:rPr>
          <w:sz w:val="24"/>
          <w:szCs w:val="24"/>
          <w:shd w:val="clear" w:color="auto" w:fill="FFFFFF"/>
        </w:rPr>
        <w:t xml:space="preserve"> и замедление темпов инфляции, существуют</w:t>
      </w:r>
      <w:r w:rsidRPr="004647B1">
        <w:rPr>
          <w:sz w:val="24"/>
          <w:szCs w:val="24"/>
          <w:shd w:val="clear" w:color="auto" w:fill="FFFFFF"/>
        </w:rPr>
        <w:t xml:space="preserve"> факторы, отрицательно влияющие на динамику </w:t>
      </w:r>
      <w:r>
        <w:rPr>
          <w:sz w:val="24"/>
          <w:szCs w:val="24"/>
          <w:shd w:val="clear" w:color="auto" w:fill="FFFFFF"/>
        </w:rPr>
        <w:t>оборота розничной торговли в городском округе Тольятти, среди которых снижение численности постоянного населения, недостаточный уровень доходов и существующие риски высвобождения работников с предприятий и организаций города.</w:t>
      </w:r>
    </w:p>
    <w:p w:rsidR="004860B6" w:rsidRDefault="004860B6" w:rsidP="00FA2372">
      <w:pPr>
        <w:pStyle w:val="230"/>
        <w:keepNext/>
        <w:keepLines/>
        <w:spacing w:after="0" w:line="276" w:lineRule="auto"/>
        <w:ind w:left="0"/>
        <w:jc w:val="center"/>
        <w:rPr>
          <w:bCs/>
          <w:sz w:val="24"/>
          <w:szCs w:val="24"/>
        </w:rPr>
      </w:pPr>
    </w:p>
    <w:p w:rsidR="00FA2372" w:rsidRPr="004E5713" w:rsidRDefault="00FA2372" w:rsidP="00FA2372">
      <w:pPr>
        <w:pStyle w:val="230"/>
        <w:keepNext/>
        <w:keepLines/>
        <w:spacing w:after="0" w:line="276" w:lineRule="auto"/>
        <w:ind w:left="0"/>
        <w:jc w:val="center"/>
        <w:rPr>
          <w:bCs/>
          <w:sz w:val="24"/>
          <w:szCs w:val="24"/>
        </w:rPr>
      </w:pPr>
      <w:r w:rsidRPr="004E5713">
        <w:rPr>
          <w:bCs/>
          <w:sz w:val="24"/>
          <w:szCs w:val="24"/>
        </w:rPr>
        <w:t>Ожидаемое выполнение прогнозных показателей по разделу «Потребительский рынок»</w:t>
      </w:r>
    </w:p>
    <w:p w:rsidR="00FA2372" w:rsidRDefault="00FA2372" w:rsidP="00FA2372">
      <w:pPr>
        <w:pStyle w:val="230"/>
        <w:keepNext/>
        <w:keepLines/>
        <w:spacing w:after="0" w:line="276" w:lineRule="auto"/>
        <w:ind w:left="0"/>
        <w:jc w:val="center"/>
        <w:rPr>
          <w:bCs/>
          <w:sz w:val="24"/>
          <w:szCs w:val="24"/>
        </w:rPr>
      </w:pPr>
      <w:r w:rsidRPr="004E5713">
        <w:rPr>
          <w:bCs/>
          <w:sz w:val="24"/>
          <w:szCs w:val="24"/>
        </w:rPr>
        <w:t>на 2017 год</w:t>
      </w:r>
    </w:p>
    <w:p w:rsidR="00355505" w:rsidRPr="004E5713" w:rsidRDefault="00355505" w:rsidP="00FA2372">
      <w:pPr>
        <w:pStyle w:val="230"/>
        <w:keepNext/>
        <w:keepLines/>
        <w:spacing w:after="0" w:line="276" w:lineRule="auto"/>
        <w:ind w:left="0"/>
        <w:jc w:val="center"/>
        <w:rPr>
          <w:bCs/>
          <w:sz w:val="24"/>
          <w:szCs w:val="24"/>
        </w:rPr>
      </w:pPr>
    </w:p>
    <w:tbl>
      <w:tblPr>
        <w:tblW w:w="9356" w:type="dxa"/>
        <w:tblInd w:w="108" w:type="dxa"/>
        <w:tblLayout w:type="fixed"/>
        <w:tblLook w:val="00A0" w:firstRow="1" w:lastRow="0" w:firstColumn="1" w:lastColumn="0" w:noHBand="0" w:noVBand="0"/>
      </w:tblPr>
      <w:tblGrid>
        <w:gridCol w:w="3475"/>
        <w:gridCol w:w="1440"/>
        <w:gridCol w:w="1440"/>
        <w:gridCol w:w="1583"/>
        <w:gridCol w:w="1418"/>
      </w:tblGrid>
      <w:tr w:rsidR="00FA2372" w:rsidRPr="004E5713" w:rsidTr="00D447A5">
        <w:trPr>
          <w:cantSplit/>
        </w:trPr>
        <w:tc>
          <w:tcPr>
            <w:tcW w:w="3475" w:type="dxa"/>
            <w:vMerge w:val="restart"/>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Показатели</w:t>
            </w:r>
          </w:p>
        </w:tc>
        <w:tc>
          <w:tcPr>
            <w:tcW w:w="1440" w:type="dxa"/>
            <w:vMerge w:val="restart"/>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Ед. изм.</w:t>
            </w:r>
          </w:p>
        </w:tc>
        <w:tc>
          <w:tcPr>
            <w:tcW w:w="3023" w:type="dxa"/>
            <w:gridSpan w:val="2"/>
            <w:tcBorders>
              <w:top w:val="single" w:sz="4" w:space="0" w:color="000000"/>
              <w:left w:val="single" w:sz="4" w:space="0" w:color="000000"/>
              <w:bottom w:val="single" w:sz="4" w:space="0" w:color="000000"/>
              <w:right w:val="nil"/>
            </w:tcBorders>
          </w:tcPr>
          <w:p w:rsidR="00FA2372" w:rsidRPr="004E5713" w:rsidRDefault="00FA2372" w:rsidP="00D447A5">
            <w:pPr>
              <w:jc w:val="center"/>
              <w:rPr>
                <w:sz w:val="24"/>
                <w:szCs w:val="24"/>
              </w:rPr>
            </w:pPr>
            <w:r w:rsidRPr="004E5713">
              <w:rPr>
                <w:sz w:val="24"/>
                <w:szCs w:val="24"/>
              </w:rPr>
              <w:t>Прогноз на 2017 год</w:t>
            </w:r>
          </w:p>
        </w:tc>
        <w:tc>
          <w:tcPr>
            <w:tcW w:w="1418" w:type="dxa"/>
            <w:vMerge w:val="restart"/>
            <w:tcBorders>
              <w:top w:val="single" w:sz="4" w:space="0" w:color="000000"/>
              <w:left w:val="single" w:sz="4" w:space="0" w:color="000000"/>
              <w:bottom w:val="single" w:sz="4" w:space="0" w:color="000000"/>
              <w:right w:val="single" w:sz="4" w:space="0" w:color="000000"/>
            </w:tcBorders>
          </w:tcPr>
          <w:p w:rsidR="00FA2372" w:rsidRPr="004E5713" w:rsidRDefault="00FA2372" w:rsidP="00D447A5">
            <w:pPr>
              <w:jc w:val="center"/>
              <w:rPr>
                <w:sz w:val="24"/>
                <w:szCs w:val="24"/>
              </w:rPr>
            </w:pPr>
            <w:r w:rsidRPr="004E5713">
              <w:rPr>
                <w:sz w:val="24"/>
                <w:szCs w:val="24"/>
              </w:rPr>
              <w:t>2017 год (оценка)</w:t>
            </w:r>
          </w:p>
        </w:tc>
      </w:tr>
      <w:tr w:rsidR="00FA2372" w:rsidRPr="004E5713" w:rsidTr="00D447A5">
        <w:trPr>
          <w:cantSplit/>
        </w:trPr>
        <w:tc>
          <w:tcPr>
            <w:tcW w:w="3475" w:type="dxa"/>
            <w:vMerge/>
            <w:tcBorders>
              <w:top w:val="single" w:sz="4" w:space="0" w:color="000000"/>
              <w:left w:val="single" w:sz="4" w:space="0" w:color="000000"/>
              <w:bottom w:val="single" w:sz="4" w:space="0" w:color="000000"/>
              <w:right w:val="nil"/>
            </w:tcBorders>
            <w:vAlign w:val="center"/>
          </w:tcPr>
          <w:p w:rsidR="00FA2372" w:rsidRPr="004E5713" w:rsidRDefault="00FA2372" w:rsidP="00D447A5">
            <w:pPr>
              <w:suppressAutoHyphens w:val="0"/>
              <w:jc w:val="center"/>
            </w:pPr>
          </w:p>
        </w:tc>
        <w:tc>
          <w:tcPr>
            <w:tcW w:w="1440" w:type="dxa"/>
            <w:vMerge/>
            <w:tcBorders>
              <w:top w:val="single" w:sz="4" w:space="0" w:color="000000"/>
              <w:left w:val="single" w:sz="4" w:space="0" w:color="000000"/>
              <w:bottom w:val="single" w:sz="4" w:space="0" w:color="000000"/>
              <w:right w:val="nil"/>
            </w:tcBorders>
            <w:vAlign w:val="center"/>
          </w:tcPr>
          <w:p w:rsidR="00FA2372" w:rsidRPr="004E5713" w:rsidRDefault="00FA2372" w:rsidP="00D447A5">
            <w:pPr>
              <w:suppressAutoHyphens w:val="0"/>
              <w:jc w:val="center"/>
            </w:pPr>
          </w:p>
        </w:tc>
        <w:tc>
          <w:tcPr>
            <w:tcW w:w="1440"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keepNext/>
              <w:keepLines/>
              <w:jc w:val="center"/>
              <w:rPr>
                <w:sz w:val="24"/>
                <w:szCs w:val="24"/>
              </w:rPr>
            </w:pPr>
            <w:r w:rsidRPr="004E5713">
              <w:rPr>
                <w:sz w:val="24"/>
                <w:szCs w:val="24"/>
              </w:rPr>
              <w:t>1 вариант</w:t>
            </w:r>
          </w:p>
        </w:tc>
        <w:tc>
          <w:tcPr>
            <w:tcW w:w="1583"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keepNext/>
              <w:keepLines/>
              <w:jc w:val="center"/>
              <w:rPr>
                <w:sz w:val="24"/>
                <w:szCs w:val="24"/>
              </w:rPr>
            </w:pPr>
            <w:r w:rsidRPr="004E5713">
              <w:rPr>
                <w:sz w:val="24"/>
                <w:szCs w:val="24"/>
              </w:rPr>
              <w:t>2 вариант</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FA2372" w:rsidRPr="004E5713" w:rsidRDefault="00FA2372" w:rsidP="00D447A5">
            <w:pPr>
              <w:suppressAutoHyphens w:val="0"/>
              <w:jc w:val="center"/>
            </w:pPr>
          </w:p>
        </w:tc>
      </w:tr>
      <w:tr w:rsidR="00FA2372" w:rsidRPr="004E5713" w:rsidTr="00D447A5">
        <w:trPr>
          <w:trHeight w:val="467"/>
        </w:trPr>
        <w:tc>
          <w:tcPr>
            <w:tcW w:w="3475"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rPr>
                <w:sz w:val="24"/>
                <w:szCs w:val="24"/>
              </w:rPr>
            </w:pPr>
            <w:r w:rsidRPr="004E5713">
              <w:rPr>
                <w:sz w:val="24"/>
                <w:szCs w:val="24"/>
              </w:rPr>
              <w:t>Оборот розничной торговли</w:t>
            </w:r>
          </w:p>
        </w:tc>
        <w:tc>
          <w:tcPr>
            <w:tcW w:w="1440"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млн. руб.</w:t>
            </w:r>
          </w:p>
        </w:tc>
        <w:tc>
          <w:tcPr>
            <w:tcW w:w="1440"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161 765,5</w:t>
            </w:r>
          </w:p>
        </w:tc>
        <w:tc>
          <w:tcPr>
            <w:tcW w:w="1583" w:type="dxa"/>
            <w:tcBorders>
              <w:top w:val="single" w:sz="4" w:space="0" w:color="000000"/>
              <w:left w:val="single" w:sz="4" w:space="0" w:color="000000"/>
              <w:bottom w:val="single" w:sz="4" w:space="0" w:color="000000"/>
              <w:right w:val="nil"/>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170 176,7</w:t>
            </w:r>
          </w:p>
        </w:tc>
        <w:tc>
          <w:tcPr>
            <w:tcW w:w="1418" w:type="dxa"/>
            <w:tcBorders>
              <w:top w:val="single" w:sz="4" w:space="0" w:color="000000"/>
              <w:left w:val="single" w:sz="4" w:space="0" w:color="000000"/>
              <w:bottom w:val="single" w:sz="4" w:space="0" w:color="000000"/>
              <w:right w:val="single" w:sz="4" w:space="0" w:color="000000"/>
            </w:tcBorders>
            <w:vAlign w:val="center"/>
          </w:tcPr>
          <w:p w:rsidR="00FA2372" w:rsidRPr="004E5713" w:rsidRDefault="00FA2372" w:rsidP="00D447A5">
            <w:pPr>
              <w:pStyle w:val="230"/>
              <w:keepNext/>
              <w:keepLines/>
              <w:spacing w:after="0" w:line="240" w:lineRule="auto"/>
              <w:ind w:left="0"/>
              <w:jc w:val="center"/>
              <w:rPr>
                <w:sz w:val="24"/>
                <w:szCs w:val="24"/>
              </w:rPr>
            </w:pPr>
            <w:r w:rsidRPr="004E5713">
              <w:rPr>
                <w:sz w:val="24"/>
                <w:szCs w:val="24"/>
              </w:rPr>
              <w:t>17</w:t>
            </w:r>
            <w:r>
              <w:rPr>
                <w:sz w:val="24"/>
                <w:szCs w:val="24"/>
              </w:rPr>
              <w:t>4 987</w:t>
            </w:r>
            <w:r w:rsidRPr="004E5713">
              <w:rPr>
                <w:sz w:val="24"/>
                <w:szCs w:val="24"/>
              </w:rPr>
              <w:t>,</w:t>
            </w:r>
            <w:r>
              <w:rPr>
                <w:sz w:val="24"/>
                <w:szCs w:val="24"/>
              </w:rPr>
              <w:t>6</w:t>
            </w:r>
          </w:p>
        </w:tc>
      </w:tr>
    </w:tbl>
    <w:p w:rsidR="00E153B5" w:rsidRDefault="00E153B5" w:rsidP="00FA2372">
      <w:pPr>
        <w:pStyle w:val="aff1"/>
        <w:spacing w:line="276" w:lineRule="auto"/>
        <w:rPr>
          <w:sz w:val="24"/>
          <w:szCs w:val="24"/>
        </w:rPr>
      </w:pPr>
    </w:p>
    <w:p w:rsidR="00FA2372" w:rsidRPr="004E5713" w:rsidRDefault="00FA2372" w:rsidP="00FA2372">
      <w:pPr>
        <w:pStyle w:val="aff1"/>
        <w:spacing w:line="276" w:lineRule="auto"/>
        <w:rPr>
          <w:sz w:val="24"/>
          <w:szCs w:val="24"/>
        </w:rPr>
      </w:pPr>
      <w:r w:rsidRPr="004E5713">
        <w:rPr>
          <w:sz w:val="24"/>
          <w:szCs w:val="24"/>
        </w:rPr>
        <w:t xml:space="preserve">С учетом сложившегося значения показателя за 1 полугодие 2017, исходя из оценки текущей ситуации на рынке товаров, предполагаемой динамики объемов потребительского спроса населения, оценочное значение показателя оборота розничной торговли по городскому округу Тольятти на 2017 год </w:t>
      </w:r>
      <w:r>
        <w:rPr>
          <w:sz w:val="24"/>
          <w:szCs w:val="24"/>
        </w:rPr>
        <w:t>скорректировано в сторону увеличения до</w:t>
      </w:r>
      <w:r w:rsidRPr="004E5713">
        <w:rPr>
          <w:sz w:val="24"/>
          <w:szCs w:val="24"/>
        </w:rPr>
        <w:t xml:space="preserve"> 17</w:t>
      </w:r>
      <w:r>
        <w:rPr>
          <w:sz w:val="24"/>
          <w:szCs w:val="24"/>
        </w:rPr>
        <w:t>4 987</w:t>
      </w:r>
      <w:r w:rsidRPr="004E5713">
        <w:rPr>
          <w:sz w:val="24"/>
          <w:szCs w:val="24"/>
        </w:rPr>
        <w:t>,</w:t>
      </w:r>
      <w:r>
        <w:rPr>
          <w:sz w:val="24"/>
          <w:szCs w:val="24"/>
        </w:rPr>
        <w:t>6</w:t>
      </w:r>
      <w:r w:rsidRPr="004E5713">
        <w:rPr>
          <w:sz w:val="24"/>
          <w:szCs w:val="24"/>
        </w:rPr>
        <w:t xml:space="preserve"> млн. руб.</w:t>
      </w:r>
    </w:p>
    <w:p w:rsidR="00A50BA4" w:rsidRPr="009F741B" w:rsidRDefault="00A50BA4" w:rsidP="00AD29B1">
      <w:pPr>
        <w:pStyle w:val="aff1"/>
        <w:spacing w:line="276" w:lineRule="auto"/>
        <w:rPr>
          <w:sz w:val="24"/>
          <w:szCs w:val="24"/>
          <w:shd w:val="clear" w:color="auto" w:fill="FFFFFF"/>
        </w:rPr>
      </w:pPr>
      <w:r w:rsidRPr="009F741B">
        <w:rPr>
          <w:sz w:val="24"/>
          <w:szCs w:val="24"/>
          <w:shd w:val="clear" w:color="auto" w:fill="FFFFFF"/>
        </w:rPr>
        <w:t>В целях развития потребительского рынка, поддержки местных товаропроизводителей, конкурентной среды, а также для снижения и стабилизации цен на товары и услуги в отчетном периоде реализовывались мероприятия:</w:t>
      </w:r>
    </w:p>
    <w:p w:rsidR="00A50BA4" w:rsidRPr="009F741B" w:rsidRDefault="00A50BA4" w:rsidP="00AD29B1">
      <w:pPr>
        <w:pStyle w:val="aff1"/>
        <w:spacing w:line="276" w:lineRule="auto"/>
        <w:rPr>
          <w:sz w:val="24"/>
          <w:szCs w:val="24"/>
          <w:shd w:val="clear" w:color="auto" w:fill="FFFFFF"/>
        </w:rPr>
      </w:pPr>
      <w:r w:rsidRPr="009F741B">
        <w:rPr>
          <w:sz w:val="24"/>
          <w:szCs w:val="24"/>
          <w:shd w:val="clear" w:color="auto" w:fill="FFFFFF"/>
        </w:rPr>
        <w:t>- мониторинг розничных цен на социально значимые продовольственные товары на предприятиях розничной торговли;</w:t>
      </w:r>
    </w:p>
    <w:p w:rsidR="009F741B" w:rsidRDefault="00A50BA4" w:rsidP="00AD29B1">
      <w:pPr>
        <w:spacing w:line="276" w:lineRule="auto"/>
        <w:ind w:firstLine="709"/>
        <w:jc w:val="both"/>
        <w:rPr>
          <w:sz w:val="24"/>
          <w:szCs w:val="24"/>
          <w:shd w:val="clear" w:color="auto" w:fill="FFFFFF"/>
        </w:rPr>
      </w:pPr>
      <w:r w:rsidRPr="009F741B">
        <w:rPr>
          <w:sz w:val="24"/>
          <w:szCs w:val="24"/>
          <w:shd w:val="clear" w:color="auto" w:fill="FFFFFF"/>
        </w:rPr>
        <w:t xml:space="preserve">- мониторинг розничных цен на продовольственные товары и сельскохозяйственную продукцию на рынках и ярмарках. </w:t>
      </w:r>
    </w:p>
    <w:p w:rsidR="00A50BA4" w:rsidRDefault="00A50BA4" w:rsidP="00AD29B1">
      <w:pPr>
        <w:spacing w:line="276" w:lineRule="auto"/>
        <w:ind w:firstLine="709"/>
        <w:jc w:val="both"/>
        <w:rPr>
          <w:sz w:val="24"/>
          <w:szCs w:val="24"/>
          <w:shd w:val="clear" w:color="auto" w:fill="FFFFFF"/>
        </w:rPr>
      </w:pPr>
      <w:r w:rsidRPr="009F741B">
        <w:rPr>
          <w:sz w:val="24"/>
          <w:szCs w:val="24"/>
          <w:shd w:val="clear" w:color="auto" w:fill="FFFFFF"/>
        </w:rPr>
        <w:t xml:space="preserve">- мониторинг розничных цен по бензину и дизельному топливу на АЗС городского округа Тольятти. </w:t>
      </w:r>
    </w:p>
    <w:p w:rsidR="009F741B" w:rsidRPr="009F741B" w:rsidRDefault="009F741B" w:rsidP="00AD29B1">
      <w:pPr>
        <w:spacing w:line="276" w:lineRule="auto"/>
        <w:ind w:firstLine="709"/>
        <w:jc w:val="both"/>
        <w:rPr>
          <w:sz w:val="24"/>
          <w:szCs w:val="24"/>
          <w:shd w:val="clear" w:color="auto" w:fill="FFFFFF"/>
        </w:rPr>
      </w:pPr>
      <w:r>
        <w:rPr>
          <w:sz w:val="24"/>
          <w:szCs w:val="24"/>
          <w:shd w:val="clear" w:color="auto" w:fill="FFFFFF"/>
        </w:rPr>
        <w:t>Анализ динамики цен показывает, что резких скачков в сторону увеличения цен на социаль</w:t>
      </w:r>
      <w:r w:rsidR="0063180B">
        <w:rPr>
          <w:sz w:val="24"/>
          <w:szCs w:val="24"/>
          <w:shd w:val="clear" w:color="auto" w:fill="FFFFFF"/>
        </w:rPr>
        <w:t>но значимые продовольственные товары в городском округе не наблюдается.</w:t>
      </w:r>
    </w:p>
    <w:p w:rsidR="00A50BA4" w:rsidRPr="0063180B" w:rsidRDefault="00A50BA4" w:rsidP="00AD29B1">
      <w:pPr>
        <w:spacing w:line="276" w:lineRule="auto"/>
        <w:ind w:firstLine="709"/>
        <w:jc w:val="both"/>
        <w:rPr>
          <w:bCs/>
          <w:sz w:val="24"/>
          <w:szCs w:val="24"/>
        </w:rPr>
      </w:pPr>
      <w:r w:rsidRPr="0063180B">
        <w:rPr>
          <w:bCs/>
          <w:sz w:val="24"/>
          <w:szCs w:val="24"/>
        </w:rPr>
        <w:t>Данные мониторингов заносятся в систему мониторинга (шаблон) и еже</w:t>
      </w:r>
      <w:r w:rsidR="0063180B" w:rsidRPr="0063180B">
        <w:rPr>
          <w:bCs/>
          <w:sz w:val="24"/>
          <w:szCs w:val="24"/>
        </w:rPr>
        <w:t>месячно</w:t>
      </w:r>
      <w:r w:rsidRPr="0063180B">
        <w:rPr>
          <w:bCs/>
          <w:sz w:val="24"/>
          <w:szCs w:val="24"/>
        </w:rPr>
        <w:t xml:space="preserve"> передаются в департамент ценового и тарифного регулирования министерства экономического развития, инвестиций и торговли Самарской области посредством Регионального сегмента ЕИАС ФСТ России «ЕИАС мониторинг» (Единой Информационной Аналитической Системой Федеральной сл</w:t>
      </w:r>
      <w:r w:rsidR="0063180B" w:rsidRPr="0063180B">
        <w:rPr>
          <w:bCs/>
          <w:sz w:val="24"/>
          <w:szCs w:val="24"/>
        </w:rPr>
        <w:t>ужбы по тарифам России).</w:t>
      </w:r>
    </w:p>
    <w:p w:rsidR="00A50BA4" w:rsidRDefault="00A50BA4" w:rsidP="00FC515F">
      <w:pPr>
        <w:spacing w:line="276" w:lineRule="auto"/>
        <w:jc w:val="center"/>
        <w:rPr>
          <w:b/>
          <w:sz w:val="24"/>
          <w:szCs w:val="24"/>
          <w:highlight w:val="yellow"/>
          <w:shd w:val="clear" w:color="auto" w:fill="FFFFFF"/>
        </w:rPr>
      </w:pPr>
    </w:p>
    <w:p w:rsidR="004D3812" w:rsidRPr="00E55EDC" w:rsidRDefault="004D3812" w:rsidP="004D3812">
      <w:pPr>
        <w:spacing w:line="276" w:lineRule="auto"/>
        <w:jc w:val="center"/>
        <w:rPr>
          <w:b/>
          <w:sz w:val="24"/>
          <w:szCs w:val="24"/>
          <w:shd w:val="clear" w:color="auto" w:fill="FFFFFF"/>
        </w:rPr>
      </w:pPr>
      <w:r w:rsidRPr="00E55EDC">
        <w:rPr>
          <w:b/>
          <w:sz w:val="24"/>
          <w:szCs w:val="24"/>
          <w:shd w:val="clear" w:color="auto" w:fill="FFFFFF"/>
        </w:rPr>
        <w:t>Охрана окружающей среды</w:t>
      </w:r>
    </w:p>
    <w:p w:rsidR="004D3812" w:rsidRDefault="004D3812" w:rsidP="004D3812">
      <w:pPr>
        <w:spacing w:line="276" w:lineRule="auto"/>
        <w:jc w:val="center"/>
        <w:rPr>
          <w:b/>
          <w:sz w:val="24"/>
          <w:szCs w:val="24"/>
          <w:shd w:val="clear" w:color="auto" w:fill="FFFFFF"/>
        </w:rPr>
      </w:pPr>
    </w:p>
    <w:p w:rsidR="004D3812" w:rsidRPr="00E55EDC" w:rsidRDefault="004D3812" w:rsidP="004D3812">
      <w:pPr>
        <w:shd w:val="clear" w:color="auto" w:fill="FFFFFF"/>
        <w:tabs>
          <w:tab w:val="left" w:pos="540"/>
        </w:tabs>
        <w:spacing w:line="276" w:lineRule="auto"/>
        <w:ind w:firstLine="741"/>
        <w:jc w:val="both"/>
        <w:rPr>
          <w:sz w:val="24"/>
          <w:szCs w:val="24"/>
          <w:shd w:val="clear" w:color="auto" w:fill="FFFFFF"/>
        </w:rPr>
      </w:pPr>
      <w:r w:rsidRPr="00E55EDC">
        <w:rPr>
          <w:sz w:val="24"/>
          <w:szCs w:val="24"/>
          <w:shd w:val="clear" w:color="auto" w:fill="FFFFFF"/>
        </w:rPr>
        <w:t>Окружающая среда городского округа Тольятти продолжает испытывать значительную антропогенную и техногенную нагрузку, связанную с высокой концентрацией крупных промышленных предприятий (теплоэнергетика, машиностроительная и химическая промышленность) и функционированием развитой транспортной системы. Но в целом экологическая ситуация в городском округе остается стабильной.</w:t>
      </w:r>
    </w:p>
    <w:p w:rsidR="004D3812" w:rsidRPr="00E55EDC" w:rsidRDefault="004D3812" w:rsidP="004D3812">
      <w:pPr>
        <w:shd w:val="clear" w:color="auto" w:fill="FFFFFF"/>
        <w:tabs>
          <w:tab w:val="left" w:pos="720"/>
        </w:tabs>
        <w:spacing w:line="276" w:lineRule="auto"/>
        <w:ind w:firstLine="720"/>
        <w:jc w:val="both"/>
        <w:rPr>
          <w:sz w:val="24"/>
          <w:szCs w:val="24"/>
          <w:shd w:val="clear" w:color="auto" w:fill="FFFFFF"/>
        </w:rPr>
      </w:pPr>
      <w:r w:rsidRPr="00E55EDC">
        <w:rPr>
          <w:sz w:val="24"/>
          <w:szCs w:val="24"/>
          <w:shd w:val="clear" w:color="auto" w:fill="FFFFFF"/>
        </w:rPr>
        <w:t xml:space="preserve">В 2017 году объем вредных веществ, выбрасываемых в атмосферный воздух стационарными источниками загрязнения, по оценке, составит 25,7 тыс. тонн, что на 0,4 % ниже уровня 2016 года. Объем сброса загрязненных сточных вод в поверхностные водные объекты, по оценке, </w:t>
      </w:r>
      <w:r w:rsidRPr="006230E3">
        <w:rPr>
          <w:sz w:val="24"/>
          <w:szCs w:val="24"/>
          <w:shd w:val="clear" w:color="auto" w:fill="FFFFFF"/>
        </w:rPr>
        <w:t>снизится на 0,1 % относительно предыдущего года и составит около 135,4 млн.м</w:t>
      </w:r>
      <w:r w:rsidRPr="006230E3">
        <w:rPr>
          <w:sz w:val="24"/>
          <w:szCs w:val="24"/>
          <w:shd w:val="clear" w:color="auto" w:fill="FFFFFF"/>
          <w:vertAlign w:val="superscript"/>
        </w:rPr>
        <w:t>3</w:t>
      </w:r>
      <w:r w:rsidRPr="006230E3">
        <w:rPr>
          <w:sz w:val="24"/>
          <w:szCs w:val="24"/>
          <w:shd w:val="clear" w:color="auto" w:fill="FFFFFF"/>
        </w:rPr>
        <w:t>.</w:t>
      </w:r>
      <w:r w:rsidRPr="00E55EDC">
        <w:rPr>
          <w:sz w:val="24"/>
          <w:szCs w:val="24"/>
          <w:shd w:val="clear" w:color="auto" w:fill="FFFFFF"/>
        </w:rPr>
        <w:t xml:space="preserve"> </w:t>
      </w:r>
    </w:p>
    <w:p w:rsidR="004D3812" w:rsidRDefault="004D3812" w:rsidP="004D3812">
      <w:pPr>
        <w:shd w:val="clear" w:color="auto" w:fill="FFFFFF"/>
        <w:spacing w:line="276" w:lineRule="auto"/>
        <w:jc w:val="center"/>
        <w:rPr>
          <w:sz w:val="24"/>
          <w:szCs w:val="24"/>
          <w:shd w:val="clear" w:color="auto" w:fill="FFFFFF"/>
        </w:rPr>
      </w:pPr>
    </w:p>
    <w:p w:rsidR="004D3812" w:rsidRPr="00E55EDC" w:rsidRDefault="004D3812" w:rsidP="004D3812">
      <w:pPr>
        <w:shd w:val="clear" w:color="auto" w:fill="FFFFFF"/>
        <w:spacing w:line="276" w:lineRule="auto"/>
        <w:jc w:val="center"/>
        <w:rPr>
          <w:sz w:val="24"/>
          <w:szCs w:val="24"/>
          <w:shd w:val="clear" w:color="auto" w:fill="FFFFFF"/>
        </w:rPr>
      </w:pPr>
      <w:r w:rsidRPr="00E55EDC">
        <w:rPr>
          <w:sz w:val="24"/>
          <w:szCs w:val="24"/>
          <w:shd w:val="clear" w:color="auto" w:fill="FFFFFF"/>
        </w:rPr>
        <w:t xml:space="preserve">Ожидаемое выполнение прогнозных показателей по охране окружающей среды </w:t>
      </w:r>
    </w:p>
    <w:p w:rsidR="004D3812" w:rsidRDefault="004D3812" w:rsidP="004D3812">
      <w:pPr>
        <w:shd w:val="clear" w:color="auto" w:fill="FFFFFF"/>
        <w:spacing w:line="276" w:lineRule="auto"/>
        <w:jc w:val="center"/>
        <w:rPr>
          <w:sz w:val="24"/>
          <w:szCs w:val="24"/>
          <w:shd w:val="clear" w:color="auto" w:fill="FFFFFF"/>
        </w:rPr>
      </w:pPr>
      <w:r w:rsidRPr="00E55EDC">
        <w:rPr>
          <w:sz w:val="24"/>
          <w:szCs w:val="24"/>
          <w:shd w:val="clear" w:color="auto" w:fill="FFFFFF"/>
        </w:rPr>
        <w:t>на 2017 год</w:t>
      </w:r>
    </w:p>
    <w:p w:rsidR="00355505" w:rsidRPr="00E55EDC" w:rsidRDefault="00355505" w:rsidP="004D3812">
      <w:pPr>
        <w:shd w:val="clear" w:color="auto" w:fill="FFFFFF"/>
        <w:spacing w:line="276" w:lineRule="auto"/>
        <w:jc w:val="center"/>
        <w:rPr>
          <w:sz w:val="24"/>
          <w:szCs w:val="24"/>
          <w:shd w:val="clear" w:color="auto" w:fill="FFFFFF"/>
        </w:rPr>
      </w:pPr>
    </w:p>
    <w:tbl>
      <w:tblPr>
        <w:tblW w:w="9356" w:type="dxa"/>
        <w:tblInd w:w="108" w:type="dxa"/>
        <w:tblLayout w:type="fixed"/>
        <w:tblLook w:val="0000" w:firstRow="0" w:lastRow="0" w:firstColumn="0" w:lastColumn="0" w:noHBand="0" w:noVBand="0"/>
      </w:tblPr>
      <w:tblGrid>
        <w:gridCol w:w="4111"/>
        <w:gridCol w:w="1418"/>
        <w:gridCol w:w="1417"/>
        <w:gridCol w:w="1276"/>
        <w:gridCol w:w="1134"/>
      </w:tblGrid>
      <w:tr w:rsidR="004D3812" w:rsidRPr="00E55EDC" w:rsidTr="0005613F">
        <w:trPr>
          <w:trHeight w:val="347"/>
        </w:trPr>
        <w:tc>
          <w:tcPr>
            <w:tcW w:w="4111" w:type="dxa"/>
            <w:vMerge w:val="restart"/>
            <w:tcBorders>
              <w:top w:val="single" w:sz="4" w:space="0" w:color="000000"/>
              <w:left w:val="single" w:sz="4" w:space="0" w:color="000000"/>
              <w:bottom w:val="single" w:sz="4" w:space="0" w:color="000000"/>
            </w:tcBorders>
          </w:tcPr>
          <w:p w:rsidR="004D3812" w:rsidRPr="00E55EDC" w:rsidRDefault="004D3812" w:rsidP="0005613F">
            <w:pPr>
              <w:shd w:val="clear" w:color="auto" w:fill="FFFFFF"/>
              <w:jc w:val="center"/>
              <w:rPr>
                <w:sz w:val="24"/>
                <w:szCs w:val="24"/>
                <w:shd w:val="clear" w:color="auto" w:fill="FFFFFF"/>
              </w:rPr>
            </w:pPr>
            <w:r w:rsidRPr="00E55EDC">
              <w:rPr>
                <w:sz w:val="24"/>
                <w:szCs w:val="24"/>
                <w:shd w:val="clear" w:color="auto" w:fill="FFFFFF"/>
              </w:rPr>
              <w:t>Наименование показателя</w:t>
            </w:r>
          </w:p>
        </w:tc>
        <w:tc>
          <w:tcPr>
            <w:tcW w:w="1418" w:type="dxa"/>
            <w:vMerge w:val="restart"/>
            <w:tcBorders>
              <w:top w:val="single" w:sz="4" w:space="0" w:color="000000"/>
              <w:left w:val="single" w:sz="4" w:space="0" w:color="000000"/>
              <w:bottom w:val="single" w:sz="4" w:space="0" w:color="000000"/>
            </w:tcBorders>
          </w:tcPr>
          <w:p w:rsidR="004D3812" w:rsidRPr="00E55EDC" w:rsidRDefault="004D3812" w:rsidP="0005613F">
            <w:pPr>
              <w:shd w:val="clear" w:color="auto" w:fill="FFFFFF"/>
              <w:jc w:val="center"/>
              <w:rPr>
                <w:sz w:val="24"/>
                <w:szCs w:val="24"/>
                <w:shd w:val="clear" w:color="auto" w:fill="FFFFFF"/>
              </w:rPr>
            </w:pPr>
            <w:r w:rsidRPr="00E55EDC">
              <w:rPr>
                <w:sz w:val="24"/>
                <w:szCs w:val="24"/>
                <w:shd w:val="clear" w:color="auto" w:fill="FFFFFF"/>
              </w:rPr>
              <w:t>Ед.изм.</w:t>
            </w:r>
          </w:p>
        </w:tc>
        <w:tc>
          <w:tcPr>
            <w:tcW w:w="2693" w:type="dxa"/>
            <w:gridSpan w:val="2"/>
            <w:tcBorders>
              <w:top w:val="single" w:sz="4" w:space="0" w:color="000000"/>
              <w:left w:val="single" w:sz="4" w:space="0" w:color="000000"/>
              <w:bottom w:val="single" w:sz="4" w:space="0" w:color="000000"/>
            </w:tcBorders>
          </w:tcPr>
          <w:p w:rsidR="004D3812" w:rsidRPr="00E55EDC" w:rsidRDefault="004D3812" w:rsidP="0005613F">
            <w:pPr>
              <w:jc w:val="center"/>
              <w:rPr>
                <w:sz w:val="24"/>
                <w:szCs w:val="24"/>
              </w:rPr>
            </w:pPr>
            <w:r w:rsidRPr="00E55EDC">
              <w:rPr>
                <w:sz w:val="24"/>
                <w:szCs w:val="24"/>
              </w:rPr>
              <w:t>Прогноз на 2017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4D3812" w:rsidRPr="00E55EDC" w:rsidRDefault="004D3812" w:rsidP="0005613F">
            <w:pPr>
              <w:jc w:val="center"/>
              <w:rPr>
                <w:sz w:val="24"/>
                <w:szCs w:val="24"/>
              </w:rPr>
            </w:pPr>
            <w:r w:rsidRPr="00E55EDC">
              <w:rPr>
                <w:sz w:val="24"/>
                <w:szCs w:val="24"/>
              </w:rPr>
              <w:t>2017 год (оценка)</w:t>
            </w:r>
          </w:p>
        </w:tc>
      </w:tr>
      <w:tr w:rsidR="004D3812" w:rsidRPr="00E55EDC" w:rsidTr="0005613F">
        <w:trPr>
          <w:trHeight w:val="425"/>
        </w:trPr>
        <w:tc>
          <w:tcPr>
            <w:tcW w:w="4111" w:type="dxa"/>
            <w:vMerge/>
            <w:tcBorders>
              <w:top w:val="single" w:sz="4" w:space="0" w:color="000000"/>
              <w:left w:val="single" w:sz="4" w:space="0" w:color="000000"/>
              <w:bottom w:val="single" w:sz="4" w:space="0" w:color="000000"/>
            </w:tcBorders>
          </w:tcPr>
          <w:p w:rsidR="004D3812" w:rsidRPr="00E55EDC" w:rsidRDefault="004D3812" w:rsidP="0005613F">
            <w:pPr>
              <w:shd w:val="clear" w:color="auto" w:fill="FFFFFF"/>
              <w:snapToGrid w:val="0"/>
              <w:jc w:val="center"/>
              <w:rPr>
                <w:sz w:val="24"/>
                <w:szCs w:val="24"/>
                <w:shd w:val="clear" w:color="auto" w:fill="FFFFFF"/>
              </w:rPr>
            </w:pPr>
          </w:p>
        </w:tc>
        <w:tc>
          <w:tcPr>
            <w:tcW w:w="1418" w:type="dxa"/>
            <w:vMerge/>
            <w:tcBorders>
              <w:top w:val="single" w:sz="4" w:space="0" w:color="000000"/>
              <w:left w:val="single" w:sz="4" w:space="0" w:color="000000"/>
              <w:bottom w:val="single" w:sz="4" w:space="0" w:color="000000"/>
            </w:tcBorders>
          </w:tcPr>
          <w:p w:rsidR="004D3812" w:rsidRPr="00E55EDC" w:rsidRDefault="004D3812" w:rsidP="0005613F">
            <w:pPr>
              <w:shd w:val="clear" w:color="auto" w:fill="FFFFFF"/>
              <w:snapToGrid w:val="0"/>
              <w:jc w:val="center"/>
              <w:rPr>
                <w:sz w:val="24"/>
                <w:szCs w:val="24"/>
                <w:shd w:val="clear" w:color="auto" w:fill="FFFFFF"/>
              </w:rPr>
            </w:pPr>
          </w:p>
        </w:tc>
        <w:tc>
          <w:tcPr>
            <w:tcW w:w="1417"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jc w:val="center"/>
              <w:rPr>
                <w:sz w:val="24"/>
                <w:szCs w:val="24"/>
                <w:shd w:val="clear" w:color="auto" w:fill="FFFFFF"/>
              </w:rPr>
            </w:pPr>
            <w:r w:rsidRPr="00E55EDC">
              <w:rPr>
                <w:sz w:val="24"/>
                <w:szCs w:val="24"/>
                <w:shd w:val="clear" w:color="auto" w:fill="FFFFFF"/>
              </w:rPr>
              <w:t>1 вариант</w:t>
            </w:r>
          </w:p>
        </w:tc>
        <w:tc>
          <w:tcPr>
            <w:tcW w:w="1276"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jc w:val="center"/>
              <w:rPr>
                <w:sz w:val="24"/>
                <w:szCs w:val="24"/>
                <w:shd w:val="clear" w:color="auto" w:fill="FFFFFF"/>
              </w:rPr>
            </w:pPr>
            <w:r w:rsidRPr="00E55EDC">
              <w:rPr>
                <w:sz w:val="24"/>
                <w:szCs w:val="24"/>
                <w:shd w:val="clear" w:color="auto" w:fill="FFFFFF"/>
              </w:rPr>
              <w:t>2 вариант</w:t>
            </w:r>
          </w:p>
        </w:tc>
        <w:tc>
          <w:tcPr>
            <w:tcW w:w="1134" w:type="dxa"/>
            <w:vMerge/>
            <w:tcBorders>
              <w:top w:val="single" w:sz="4" w:space="0" w:color="000000"/>
              <w:left w:val="single" w:sz="4" w:space="0" w:color="000000"/>
              <w:bottom w:val="single" w:sz="4" w:space="0" w:color="000000"/>
              <w:right w:val="single" w:sz="4" w:space="0" w:color="000000"/>
            </w:tcBorders>
          </w:tcPr>
          <w:p w:rsidR="004D3812" w:rsidRPr="00E55EDC" w:rsidRDefault="004D3812" w:rsidP="0005613F">
            <w:pPr>
              <w:shd w:val="clear" w:color="auto" w:fill="FFFFFF"/>
              <w:snapToGrid w:val="0"/>
              <w:jc w:val="center"/>
              <w:rPr>
                <w:sz w:val="24"/>
                <w:szCs w:val="24"/>
                <w:shd w:val="clear" w:color="auto" w:fill="FFFFFF"/>
              </w:rPr>
            </w:pPr>
          </w:p>
        </w:tc>
      </w:tr>
      <w:tr w:rsidR="004D3812" w:rsidRPr="00E55EDC" w:rsidTr="0005613F">
        <w:tc>
          <w:tcPr>
            <w:tcW w:w="4111"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rPr>
                <w:sz w:val="24"/>
                <w:szCs w:val="24"/>
                <w:shd w:val="clear" w:color="auto" w:fill="FFFFFF"/>
              </w:rPr>
            </w:pPr>
            <w:r w:rsidRPr="00E55EDC">
              <w:rPr>
                <w:sz w:val="24"/>
                <w:szCs w:val="24"/>
                <w:shd w:val="clear" w:color="auto" w:fill="FFFFFF"/>
              </w:rPr>
              <w:t>Объем вредных веществ, выбрасываемых в атмосферный воздух стационарными источниками загрязнения</w:t>
            </w:r>
          </w:p>
        </w:tc>
        <w:tc>
          <w:tcPr>
            <w:tcW w:w="1418"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spacing w:line="276" w:lineRule="auto"/>
              <w:jc w:val="center"/>
              <w:rPr>
                <w:sz w:val="24"/>
                <w:szCs w:val="24"/>
                <w:shd w:val="clear" w:color="auto" w:fill="FFFFFF"/>
              </w:rPr>
            </w:pPr>
            <w:r w:rsidRPr="00E55EDC">
              <w:rPr>
                <w:sz w:val="24"/>
                <w:szCs w:val="24"/>
                <w:shd w:val="clear" w:color="auto" w:fill="FFFFFF"/>
              </w:rPr>
              <w:t>тыс. тонн</w:t>
            </w:r>
          </w:p>
        </w:tc>
        <w:tc>
          <w:tcPr>
            <w:tcW w:w="1417" w:type="dxa"/>
            <w:tcBorders>
              <w:top w:val="single" w:sz="4" w:space="0" w:color="000000"/>
              <w:left w:val="single" w:sz="4" w:space="0" w:color="000000"/>
              <w:bottom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lang w:val="en-US"/>
              </w:rPr>
            </w:pPr>
            <w:r w:rsidRPr="00E55EDC">
              <w:rPr>
                <w:sz w:val="24"/>
                <w:szCs w:val="24"/>
                <w:shd w:val="clear" w:color="auto" w:fill="FFFFFF"/>
              </w:rPr>
              <w:t>26,2</w:t>
            </w:r>
          </w:p>
        </w:tc>
        <w:tc>
          <w:tcPr>
            <w:tcW w:w="1276" w:type="dxa"/>
            <w:tcBorders>
              <w:top w:val="single" w:sz="4" w:space="0" w:color="000000"/>
              <w:left w:val="single" w:sz="4" w:space="0" w:color="000000"/>
              <w:bottom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lang w:val="en-US"/>
              </w:rPr>
            </w:pPr>
            <w:r w:rsidRPr="00E55EDC">
              <w:rPr>
                <w:sz w:val="24"/>
                <w:szCs w:val="24"/>
                <w:shd w:val="clear" w:color="auto" w:fill="FFFFFF"/>
              </w:rPr>
              <w:t>25,8</w:t>
            </w:r>
          </w:p>
        </w:tc>
        <w:tc>
          <w:tcPr>
            <w:tcW w:w="1134" w:type="dxa"/>
            <w:tcBorders>
              <w:top w:val="single" w:sz="4" w:space="0" w:color="000000"/>
              <w:left w:val="single" w:sz="4" w:space="0" w:color="000000"/>
              <w:bottom w:val="single" w:sz="4" w:space="0" w:color="000000"/>
              <w:right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lang w:val="en-US"/>
              </w:rPr>
            </w:pPr>
            <w:r w:rsidRPr="00E55EDC">
              <w:rPr>
                <w:sz w:val="24"/>
                <w:szCs w:val="24"/>
                <w:shd w:val="clear" w:color="auto" w:fill="FFFFFF"/>
              </w:rPr>
              <w:t>25,7</w:t>
            </w:r>
          </w:p>
        </w:tc>
      </w:tr>
      <w:tr w:rsidR="004D3812" w:rsidRPr="00E55EDC" w:rsidTr="0005613F">
        <w:tc>
          <w:tcPr>
            <w:tcW w:w="4111"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rPr>
                <w:sz w:val="24"/>
                <w:szCs w:val="24"/>
                <w:shd w:val="clear" w:color="auto" w:fill="FFFFFF"/>
              </w:rPr>
            </w:pPr>
            <w:r w:rsidRPr="00E55EDC">
              <w:rPr>
                <w:sz w:val="24"/>
                <w:szCs w:val="24"/>
                <w:shd w:val="clear" w:color="auto" w:fill="FFFFFF"/>
              </w:rPr>
              <w:t>Объем сброса загрязнений сточных вод в поверхностные водные объекты</w:t>
            </w:r>
          </w:p>
        </w:tc>
        <w:tc>
          <w:tcPr>
            <w:tcW w:w="1418" w:type="dxa"/>
            <w:tcBorders>
              <w:top w:val="single" w:sz="4" w:space="0" w:color="000000"/>
              <w:left w:val="single" w:sz="4" w:space="0" w:color="000000"/>
              <w:bottom w:val="single" w:sz="4" w:space="0" w:color="000000"/>
            </w:tcBorders>
          </w:tcPr>
          <w:p w:rsidR="004D3812" w:rsidRPr="00E55EDC" w:rsidRDefault="004D3812" w:rsidP="0005613F">
            <w:pPr>
              <w:shd w:val="clear" w:color="auto" w:fill="FFFFFF"/>
              <w:spacing w:line="276" w:lineRule="auto"/>
              <w:jc w:val="center"/>
              <w:rPr>
                <w:sz w:val="24"/>
                <w:szCs w:val="24"/>
                <w:shd w:val="clear" w:color="auto" w:fill="FFFFFF"/>
              </w:rPr>
            </w:pPr>
            <w:r w:rsidRPr="00E55EDC">
              <w:rPr>
                <w:sz w:val="24"/>
                <w:szCs w:val="24"/>
                <w:shd w:val="clear" w:color="auto" w:fill="FFFFFF"/>
              </w:rPr>
              <w:t>млн.куб.м</w:t>
            </w:r>
          </w:p>
        </w:tc>
        <w:tc>
          <w:tcPr>
            <w:tcW w:w="1417" w:type="dxa"/>
            <w:tcBorders>
              <w:top w:val="single" w:sz="4" w:space="0" w:color="000000"/>
              <w:left w:val="single" w:sz="4" w:space="0" w:color="000000"/>
              <w:bottom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lang w:val="en-US"/>
              </w:rPr>
            </w:pPr>
            <w:r w:rsidRPr="00E55EDC">
              <w:rPr>
                <w:sz w:val="24"/>
                <w:szCs w:val="24"/>
                <w:shd w:val="clear" w:color="auto" w:fill="FFFFFF"/>
                <w:lang w:val="en-US"/>
              </w:rPr>
              <w:t>5</w:t>
            </w:r>
            <w:r w:rsidRPr="00E55EDC">
              <w:rPr>
                <w:sz w:val="24"/>
                <w:szCs w:val="24"/>
                <w:shd w:val="clear" w:color="auto" w:fill="FFFFFF"/>
              </w:rPr>
              <w:t>0,</w:t>
            </w:r>
            <w:r w:rsidRPr="00E55EDC">
              <w:rPr>
                <w:sz w:val="24"/>
                <w:szCs w:val="24"/>
                <w:shd w:val="clear" w:color="auto" w:fill="FFFFFF"/>
                <w:lang w:val="en-US"/>
              </w:rPr>
              <w:t>5</w:t>
            </w:r>
          </w:p>
        </w:tc>
        <w:tc>
          <w:tcPr>
            <w:tcW w:w="1276" w:type="dxa"/>
            <w:tcBorders>
              <w:top w:val="single" w:sz="4" w:space="0" w:color="000000"/>
              <w:left w:val="single" w:sz="4" w:space="0" w:color="000000"/>
              <w:bottom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rPr>
            </w:pPr>
            <w:r w:rsidRPr="00E55EDC">
              <w:rPr>
                <w:sz w:val="24"/>
                <w:szCs w:val="24"/>
                <w:shd w:val="clear" w:color="auto" w:fill="FFFFFF"/>
              </w:rPr>
              <w:t>49,7</w:t>
            </w:r>
          </w:p>
        </w:tc>
        <w:tc>
          <w:tcPr>
            <w:tcW w:w="1134" w:type="dxa"/>
            <w:tcBorders>
              <w:top w:val="single" w:sz="4" w:space="0" w:color="000000"/>
              <w:left w:val="single" w:sz="4" w:space="0" w:color="000000"/>
              <w:bottom w:val="single" w:sz="4" w:space="0" w:color="000000"/>
              <w:right w:val="single" w:sz="4" w:space="0" w:color="000000"/>
            </w:tcBorders>
            <w:vAlign w:val="center"/>
          </w:tcPr>
          <w:p w:rsidR="004D3812" w:rsidRPr="00E55EDC" w:rsidRDefault="004D3812" w:rsidP="0005613F">
            <w:pPr>
              <w:shd w:val="clear" w:color="auto" w:fill="FFFFFF"/>
              <w:spacing w:line="276" w:lineRule="auto"/>
              <w:jc w:val="center"/>
              <w:rPr>
                <w:sz w:val="24"/>
                <w:szCs w:val="24"/>
                <w:shd w:val="clear" w:color="auto" w:fill="FFFFFF"/>
              </w:rPr>
            </w:pPr>
            <w:r w:rsidRPr="00E55EDC">
              <w:rPr>
                <w:sz w:val="24"/>
                <w:szCs w:val="24"/>
                <w:shd w:val="clear" w:color="auto" w:fill="FFFFFF"/>
              </w:rPr>
              <w:t>135,4</w:t>
            </w:r>
          </w:p>
        </w:tc>
      </w:tr>
    </w:tbl>
    <w:p w:rsidR="00792212" w:rsidRDefault="00792212" w:rsidP="004D3812">
      <w:pPr>
        <w:shd w:val="clear" w:color="auto" w:fill="FFFFFF"/>
        <w:spacing w:line="276" w:lineRule="auto"/>
        <w:ind w:firstLine="709"/>
        <w:jc w:val="both"/>
        <w:rPr>
          <w:sz w:val="24"/>
          <w:szCs w:val="24"/>
          <w:shd w:val="clear" w:color="auto" w:fill="FFFFFF"/>
        </w:rPr>
      </w:pPr>
    </w:p>
    <w:p w:rsidR="00B347E3" w:rsidRDefault="00B347E3" w:rsidP="004D3812">
      <w:pPr>
        <w:shd w:val="clear" w:color="auto" w:fill="FFFFFF"/>
        <w:spacing w:line="276" w:lineRule="auto"/>
        <w:ind w:firstLine="709"/>
        <w:jc w:val="both"/>
        <w:rPr>
          <w:sz w:val="24"/>
          <w:szCs w:val="24"/>
          <w:shd w:val="clear" w:color="auto" w:fill="FFFFFF"/>
        </w:rPr>
      </w:pPr>
    </w:p>
    <w:p w:rsidR="004D3812" w:rsidRPr="00E55EDC" w:rsidRDefault="004D3812" w:rsidP="004D3812">
      <w:pPr>
        <w:shd w:val="clear" w:color="auto" w:fill="FFFFFF"/>
        <w:spacing w:line="276" w:lineRule="auto"/>
        <w:ind w:firstLine="709"/>
        <w:jc w:val="both"/>
        <w:rPr>
          <w:sz w:val="24"/>
          <w:szCs w:val="24"/>
          <w:shd w:val="clear" w:color="auto" w:fill="FFFFFF"/>
        </w:rPr>
      </w:pPr>
      <w:r w:rsidRPr="00E55EDC">
        <w:rPr>
          <w:sz w:val="24"/>
          <w:szCs w:val="24"/>
          <w:shd w:val="clear" w:color="auto" w:fill="FFFFFF"/>
        </w:rPr>
        <w:t>В связи с уточнением данных за 2016 год в 2017 году изменена оценка показателей:</w:t>
      </w:r>
    </w:p>
    <w:p w:rsidR="004D3812" w:rsidRPr="00E55EDC" w:rsidRDefault="004D3812" w:rsidP="004D3812">
      <w:pPr>
        <w:shd w:val="clear" w:color="auto" w:fill="FFFFFF"/>
        <w:spacing w:line="276" w:lineRule="auto"/>
        <w:ind w:firstLine="709"/>
        <w:jc w:val="both"/>
        <w:rPr>
          <w:sz w:val="24"/>
          <w:szCs w:val="24"/>
          <w:shd w:val="clear" w:color="auto" w:fill="FFFFFF"/>
        </w:rPr>
      </w:pPr>
      <w:r w:rsidRPr="00E55EDC">
        <w:rPr>
          <w:sz w:val="24"/>
          <w:szCs w:val="24"/>
          <w:shd w:val="clear" w:color="auto" w:fill="FFFFFF"/>
        </w:rPr>
        <w:t>- объем вредных веществ, выбрасываемых в атмосферный воздух стационарными источниками загрязнения, снижен до 25,7 тыс. тонн  (фактическое значение показателя в 2016 году составило 25,8 тыс. тонн вместо планируемых ранее 26,3 тыс. тонн);</w:t>
      </w:r>
    </w:p>
    <w:p w:rsidR="004D3812" w:rsidRDefault="004D3812" w:rsidP="004D3812">
      <w:pPr>
        <w:pStyle w:val="atlp"/>
        <w:shd w:val="clear" w:color="auto" w:fill="FFFFFF"/>
        <w:spacing w:before="0" w:after="0" w:line="276" w:lineRule="auto"/>
        <w:ind w:firstLine="709"/>
        <w:jc w:val="both"/>
        <w:rPr>
          <w:shd w:val="clear" w:color="auto" w:fill="FFFFFF"/>
        </w:rPr>
      </w:pPr>
      <w:r w:rsidRPr="00E55EDC">
        <w:rPr>
          <w:shd w:val="clear" w:color="auto" w:fill="FFFFFF"/>
        </w:rPr>
        <w:t xml:space="preserve">-  объем сброса загрязненных сточных вод в поверхностные водные объекты увеличен до 135,4 млн. куб. м. Оценка скорректирована вследствие того, что фактический объем сброса загрязнений сточных вод в поверхностные водные объекты в 2016 году составил 135,5 млн. куб. м (вместо ожидаемых 50,6 млн. куб. м), </w:t>
      </w:r>
      <w:r>
        <w:rPr>
          <w:shd w:val="clear" w:color="auto" w:fill="FFFFFF"/>
        </w:rPr>
        <w:t>что составляет весь объём сброшенных сточных вод в Куйбышевское и Саратовское водохранилища, после очистных сооружений ПАО «Тольяттиазот» и  ООО «АВК» с категорией качества воды – недостаточно-очищенные (загрязнённые). В 2016 году сточные воды, прошедшие очистку на очистных сооружениях  ПАО «Тольяттиазот» и  ООО «АВК» с категорией качества нормативно-очищенные отсутствовали. Изменение количественных показателей по нормируемым к сбросу ингредиентам связано с увеличением концентраций загрязняющих веществ в поступающих сточных водах абонентов очистки.</w:t>
      </w:r>
    </w:p>
    <w:p w:rsidR="004D3812" w:rsidRPr="00E55EDC" w:rsidRDefault="004D3812" w:rsidP="004D3812">
      <w:pPr>
        <w:pStyle w:val="atlp"/>
        <w:shd w:val="clear" w:color="auto" w:fill="FFFFFF"/>
        <w:spacing w:before="0" w:after="0" w:line="276" w:lineRule="auto"/>
        <w:ind w:firstLine="709"/>
        <w:jc w:val="both"/>
        <w:rPr>
          <w:shd w:val="clear" w:color="auto" w:fill="FFFFFF"/>
        </w:rPr>
      </w:pPr>
      <w:r w:rsidRPr="00E55EDC">
        <w:rPr>
          <w:shd w:val="clear" w:color="auto" w:fill="FFFFFF"/>
        </w:rPr>
        <w:t>Наиболее   крупные   экологические мероприятия 2017 года запланированы основными промышленными предприятиями за   счет   собственных средств  (около 600  млн. руб., что на 30,6 % больше, чем в 2016 году).</w:t>
      </w:r>
    </w:p>
    <w:p w:rsidR="004D3812" w:rsidRPr="00E55EDC" w:rsidRDefault="004D3812" w:rsidP="004D3812">
      <w:pPr>
        <w:spacing w:line="276" w:lineRule="auto"/>
        <w:ind w:firstLine="709"/>
        <w:jc w:val="both"/>
        <w:rPr>
          <w:sz w:val="24"/>
          <w:szCs w:val="24"/>
          <w:shd w:val="clear" w:color="auto" w:fill="FFFFFF"/>
        </w:rPr>
      </w:pPr>
      <w:r w:rsidRPr="00E55EDC">
        <w:rPr>
          <w:sz w:val="24"/>
          <w:szCs w:val="24"/>
          <w:shd w:val="clear" w:color="auto" w:fill="FFFFFF"/>
        </w:rPr>
        <w:t>С целью сокращения негативного влияния на окружающую среду предприятия реализуют проекты по техническому перевооружению производства, реконструкции  и строительству очистных сооружений.</w:t>
      </w:r>
    </w:p>
    <w:p w:rsidR="004D3812" w:rsidRPr="00E55EDC" w:rsidRDefault="004D3812" w:rsidP="004D3812">
      <w:pPr>
        <w:spacing w:line="276" w:lineRule="auto"/>
        <w:ind w:firstLine="709"/>
        <w:jc w:val="both"/>
        <w:rPr>
          <w:sz w:val="24"/>
          <w:szCs w:val="24"/>
          <w:shd w:val="clear" w:color="auto" w:fill="FFFFFF"/>
        </w:rPr>
      </w:pPr>
      <w:r w:rsidRPr="00E55EDC">
        <w:rPr>
          <w:sz w:val="24"/>
          <w:szCs w:val="24"/>
          <w:shd w:val="clear" w:color="auto" w:fill="FFFFFF"/>
        </w:rPr>
        <w:t xml:space="preserve">Так, ПАО «АВТОВАЗ» в 2017 году планирует провести: реконструкцию промканализации с целью минимизации попадания отложений в сточные воды; работы по изменению схемы подачи воды; закупку и установку КИП на скважинах, расположенных на площадках сосредоточенных водозаборов; выполнение строительства павильонов для скважин в целях снижения объемов потребления артезианской воды и сокращения объема сброса сточных вод в канализацию; выполнение наладки системы газоснабжения и сдачу в эксплуатацию окрасочно-сушильной камеры с целью сокращения потребления ЛКМ за счет частичного перехода на краску на водной основе. </w:t>
      </w:r>
      <w:r w:rsidRPr="00BF7C61">
        <w:rPr>
          <w:sz w:val="24"/>
          <w:szCs w:val="24"/>
          <w:shd w:val="clear" w:color="auto" w:fill="FFFFFF"/>
        </w:rPr>
        <w:t>Планируемые затраты ПАО «АВТОВАЗ» на охрану окружающей среды в 2017 году существенно выше затрат 2016 года.</w:t>
      </w:r>
      <w:r w:rsidRPr="00E55EDC">
        <w:rPr>
          <w:sz w:val="24"/>
          <w:szCs w:val="24"/>
          <w:shd w:val="clear" w:color="auto" w:fill="FFFFFF"/>
        </w:rPr>
        <w:t xml:space="preserve"> </w:t>
      </w:r>
    </w:p>
    <w:p w:rsidR="004D3812" w:rsidRPr="00E55EDC" w:rsidRDefault="004D3812" w:rsidP="004D3812">
      <w:pPr>
        <w:pStyle w:val="atlp"/>
        <w:shd w:val="clear" w:color="auto" w:fill="FFFFFF"/>
        <w:spacing w:before="0" w:after="0" w:line="276" w:lineRule="auto"/>
        <w:ind w:firstLine="709"/>
        <w:jc w:val="both"/>
        <w:rPr>
          <w:shd w:val="clear" w:color="auto" w:fill="FFFFFF"/>
        </w:rPr>
      </w:pPr>
      <w:r w:rsidRPr="00E55EDC">
        <w:rPr>
          <w:shd w:val="clear" w:color="auto" w:fill="FFFFFF"/>
        </w:rPr>
        <w:t>ПАО «КуйбышевАзот» также планирует увеличить затраты на реализацию природоохранных мероприятий (в 2,5 раза к уровню прошлого года). Средства предприятия будут направлены на разработку проектной документации и строительство канализационных очистных сооружений, а также на выполнение проекта установки конденсации паров в целях сокращения выбросов загрязняющих веществ в атмосферу.</w:t>
      </w:r>
    </w:p>
    <w:p w:rsidR="004D3812" w:rsidRPr="00E55EDC" w:rsidRDefault="004D3812" w:rsidP="004D3812">
      <w:pPr>
        <w:pStyle w:val="atlp"/>
        <w:shd w:val="clear" w:color="auto" w:fill="FFFFFF"/>
        <w:spacing w:before="0" w:after="0" w:line="276" w:lineRule="auto"/>
        <w:ind w:firstLine="709"/>
        <w:jc w:val="both"/>
        <w:rPr>
          <w:shd w:val="clear" w:color="auto" w:fill="FFFFFF"/>
        </w:rPr>
      </w:pPr>
      <w:r w:rsidRPr="00E55EDC">
        <w:rPr>
          <w:shd w:val="clear" w:color="auto" w:fill="FFFFFF"/>
        </w:rPr>
        <w:t xml:space="preserve">Средства </w:t>
      </w:r>
      <w:r w:rsidR="006230E3">
        <w:rPr>
          <w:shd w:val="clear" w:color="auto" w:fill="FFFFFF"/>
        </w:rPr>
        <w:t>П</w:t>
      </w:r>
      <w:r w:rsidRPr="00E55EDC">
        <w:rPr>
          <w:shd w:val="clear" w:color="auto" w:fill="FFFFFF"/>
        </w:rPr>
        <w:t>АО «Тольяттиазот» в 2017 году планируется направить на проведение ремонтных работ на очистных сооружениях и строительство нового трубопровода. Запланированный объем финансирования данных мероприятий в 1,8 раза меньше затрат на природоохранные мероприятия 2016 года.</w:t>
      </w:r>
    </w:p>
    <w:p w:rsidR="004D3812" w:rsidRPr="00E55EDC" w:rsidRDefault="004D3812" w:rsidP="004D3812">
      <w:pPr>
        <w:pStyle w:val="atlp"/>
        <w:shd w:val="clear" w:color="auto" w:fill="FFFFFF"/>
        <w:spacing w:before="0" w:after="0" w:line="276" w:lineRule="auto"/>
        <w:ind w:firstLine="709"/>
        <w:jc w:val="both"/>
        <w:rPr>
          <w:shd w:val="clear" w:color="auto" w:fill="FFFFFF"/>
        </w:rPr>
      </w:pPr>
      <w:r w:rsidRPr="00E55EDC">
        <w:rPr>
          <w:shd w:val="clear" w:color="auto" w:fill="FFFFFF"/>
        </w:rPr>
        <w:t>Следует отметить, что проводимая крупными промышленными предприятиями городского округа Тольятти политика ресурсосбережения, в соответствии с нормами Федерального закона «Об энергосбережении и энергоэффективности» позволяет многим предприятиям сокращать затраты на электроэнергию и теплоэнергию, что в свою очередь снижает негативное воздействие производства на окружающую среду.</w:t>
      </w:r>
    </w:p>
    <w:p w:rsidR="004D3812" w:rsidRPr="00E55EDC" w:rsidRDefault="004D3812" w:rsidP="004D3812">
      <w:pPr>
        <w:pStyle w:val="aff1"/>
        <w:numPr>
          <w:ilvl w:val="0"/>
          <w:numId w:val="5"/>
        </w:numPr>
        <w:shd w:val="clear" w:color="auto" w:fill="FFFFFF"/>
        <w:spacing w:line="276" w:lineRule="auto"/>
        <w:ind w:left="0" w:right="-2" w:firstLine="690"/>
        <w:rPr>
          <w:sz w:val="24"/>
          <w:szCs w:val="24"/>
          <w:shd w:val="clear" w:color="auto" w:fill="FFFFFF"/>
        </w:rPr>
      </w:pPr>
      <w:r w:rsidRPr="00E55EDC">
        <w:rPr>
          <w:sz w:val="24"/>
          <w:szCs w:val="24"/>
          <w:shd w:val="clear" w:color="auto" w:fill="FFFFFF"/>
        </w:rPr>
        <w:t>Для обеспечения благоприятной окружающей среды в городском округе реализуются:</w:t>
      </w:r>
    </w:p>
    <w:p w:rsidR="004D3812" w:rsidRPr="008024E7" w:rsidRDefault="004D3812" w:rsidP="004D3812">
      <w:pPr>
        <w:pStyle w:val="aff1"/>
        <w:numPr>
          <w:ilvl w:val="0"/>
          <w:numId w:val="5"/>
        </w:numPr>
        <w:shd w:val="clear" w:color="auto" w:fill="FFFFFF"/>
        <w:spacing w:line="276" w:lineRule="auto"/>
        <w:ind w:left="0" w:right="-2" w:firstLine="690"/>
        <w:rPr>
          <w:sz w:val="24"/>
          <w:szCs w:val="24"/>
          <w:shd w:val="clear" w:color="auto" w:fill="FFFFFF"/>
        </w:rPr>
      </w:pPr>
      <w:r w:rsidRPr="00080313">
        <w:rPr>
          <w:sz w:val="24"/>
          <w:szCs w:val="24"/>
          <w:shd w:val="clear" w:color="auto" w:fill="FFFFFF"/>
        </w:rPr>
        <w:t xml:space="preserve">- муниципальная экологическая программа городского округа Тольятти на 2015-2017 гг., утвержденная постановлением мэрии городского округа Тольятти от 13.10.2014 № 3844-п/1,  с объемом финансирования  на 2017 год  в размере </w:t>
      </w:r>
      <w:r>
        <w:rPr>
          <w:sz w:val="24"/>
          <w:szCs w:val="24"/>
          <w:shd w:val="clear" w:color="auto" w:fill="FFFFFF"/>
        </w:rPr>
        <w:t>6</w:t>
      </w:r>
      <w:r w:rsidRPr="00CE10AE">
        <w:rPr>
          <w:sz w:val="24"/>
          <w:szCs w:val="24"/>
          <w:shd w:val="clear" w:color="auto" w:fill="FFFFFF"/>
        </w:rPr>
        <w:t>,8</w:t>
      </w:r>
      <w:r>
        <w:rPr>
          <w:sz w:val="24"/>
          <w:szCs w:val="24"/>
          <w:shd w:val="clear" w:color="auto" w:fill="FFFFFF"/>
        </w:rPr>
        <w:t xml:space="preserve"> млн. руб. (с учетом планируемого внесения изменений);</w:t>
      </w:r>
    </w:p>
    <w:p w:rsidR="004D3812" w:rsidRDefault="004D3812" w:rsidP="004D3812">
      <w:pPr>
        <w:pStyle w:val="aff1"/>
        <w:numPr>
          <w:ilvl w:val="0"/>
          <w:numId w:val="5"/>
        </w:numPr>
        <w:shd w:val="clear" w:color="auto" w:fill="FFFFFF"/>
        <w:spacing w:line="276" w:lineRule="auto"/>
        <w:ind w:left="0" w:right="-2" w:firstLine="690"/>
        <w:rPr>
          <w:sz w:val="24"/>
          <w:szCs w:val="24"/>
          <w:shd w:val="clear" w:color="auto" w:fill="FFFFFF"/>
        </w:rPr>
      </w:pPr>
      <w:r w:rsidRPr="00DE2577">
        <w:rPr>
          <w:sz w:val="24"/>
          <w:szCs w:val="24"/>
          <w:shd w:val="clear" w:color="auto" w:fill="FFFFFF"/>
        </w:rPr>
        <w:t xml:space="preserve">- муниципальная программа </w:t>
      </w:r>
      <w:r w:rsidRPr="00DE2577">
        <w:rPr>
          <w:color w:val="000000"/>
          <w:sz w:val="24"/>
          <w:szCs w:val="24"/>
        </w:rPr>
        <w:t>«Охрана окружающей среды на территории городского округа Тольятти на 2017-2021 годы»</w:t>
      </w:r>
      <w:r w:rsidRPr="00DE2577">
        <w:rPr>
          <w:sz w:val="24"/>
          <w:szCs w:val="24"/>
          <w:shd w:val="clear" w:color="auto" w:fill="FFFFFF"/>
        </w:rPr>
        <w:t xml:space="preserve">, утвержденной постановлением мэрии </w:t>
      </w:r>
      <w:r w:rsidRPr="00CE10AE">
        <w:rPr>
          <w:sz w:val="24"/>
          <w:szCs w:val="24"/>
          <w:shd w:val="clear" w:color="auto" w:fill="FFFFFF"/>
        </w:rPr>
        <w:t>от 17.08.2016 г. № 2612-п/1, с объемом финансирования  на 2017 год  в размере 1,2 млн. руб.</w:t>
      </w:r>
      <w:r>
        <w:rPr>
          <w:sz w:val="24"/>
          <w:szCs w:val="24"/>
          <w:shd w:val="clear" w:color="auto" w:fill="FFFFFF"/>
        </w:rPr>
        <w:t xml:space="preserve"> (с учетом планируемого внесения изменений)</w:t>
      </w:r>
    </w:p>
    <w:p w:rsidR="004D3812" w:rsidRPr="00CE10AE" w:rsidRDefault="004D3812" w:rsidP="004D3812">
      <w:pPr>
        <w:pStyle w:val="aff1"/>
        <w:numPr>
          <w:ilvl w:val="0"/>
          <w:numId w:val="5"/>
        </w:numPr>
        <w:shd w:val="clear" w:color="auto" w:fill="FFFFFF"/>
        <w:spacing w:line="276" w:lineRule="auto"/>
        <w:ind w:left="0" w:right="-2" w:firstLine="690"/>
        <w:rPr>
          <w:sz w:val="24"/>
          <w:szCs w:val="24"/>
          <w:shd w:val="clear" w:color="auto" w:fill="FFFFFF"/>
        </w:rPr>
      </w:pPr>
      <w:r>
        <w:rPr>
          <w:sz w:val="24"/>
          <w:szCs w:val="24"/>
          <w:shd w:val="clear" w:color="auto" w:fill="FFFFFF"/>
        </w:rPr>
        <w:t xml:space="preserve">В настоящее время проходят процедуру согласования </w:t>
      </w:r>
      <w:r w:rsidRPr="008024E7">
        <w:rPr>
          <w:sz w:val="24"/>
          <w:szCs w:val="24"/>
          <w:shd w:val="clear" w:color="auto" w:fill="FFFFFF"/>
        </w:rPr>
        <w:t xml:space="preserve">проекты постановлений администрации городского округа Тольятти о внесении изменений в постановления мэрии городского округа Тольятти </w:t>
      </w:r>
      <w:r w:rsidRPr="00080313">
        <w:rPr>
          <w:sz w:val="24"/>
          <w:szCs w:val="24"/>
          <w:shd w:val="clear" w:color="auto" w:fill="FFFFFF"/>
        </w:rPr>
        <w:t>от 13.10.2014 № 3844-п/1</w:t>
      </w:r>
      <w:r>
        <w:rPr>
          <w:sz w:val="24"/>
          <w:szCs w:val="24"/>
          <w:shd w:val="clear" w:color="auto" w:fill="FFFFFF"/>
        </w:rPr>
        <w:t xml:space="preserve"> и </w:t>
      </w:r>
      <w:r w:rsidRPr="00CE10AE">
        <w:rPr>
          <w:sz w:val="24"/>
          <w:szCs w:val="24"/>
          <w:shd w:val="clear" w:color="auto" w:fill="FFFFFF"/>
        </w:rPr>
        <w:t>от 17.08.2016 г. № 2612-п/1</w:t>
      </w:r>
      <w:r>
        <w:rPr>
          <w:sz w:val="24"/>
          <w:szCs w:val="24"/>
          <w:shd w:val="clear" w:color="auto" w:fill="FFFFFF"/>
        </w:rPr>
        <w:t xml:space="preserve"> в части изменения объемов финансирования муниципальных программ на 2017 год.</w:t>
      </w:r>
    </w:p>
    <w:p w:rsidR="00CB1A3B" w:rsidRDefault="00CB1A3B" w:rsidP="00EE4418">
      <w:pPr>
        <w:autoSpaceDE w:val="0"/>
        <w:autoSpaceDN w:val="0"/>
        <w:adjustRightInd w:val="0"/>
        <w:spacing w:line="276" w:lineRule="auto"/>
        <w:ind w:firstLine="709"/>
        <w:jc w:val="both"/>
        <w:outlineLvl w:val="2"/>
        <w:rPr>
          <w:sz w:val="24"/>
          <w:szCs w:val="24"/>
          <w:shd w:val="clear" w:color="auto" w:fill="FFFFFF"/>
        </w:rPr>
      </w:pPr>
    </w:p>
    <w:p w:rsidR="00A50BA4" w:rsidRPr="00EE4418" w:rsidRDefault="0006670E" w:rsidP="00EE4418">
      <w:pPr>
        <w:autoSpaceDE w:val="0"/>
        <w:autoSpaceDN w:val="0"/>
        <w:adjustRightInd w:val="0"/>
        <w:spacing w:line="276" w:lineRule="auto"/>
        <w:ind w:firstLine="709"/>
        <w:jc w:val="both"/>
        <w:outlineLvl w:val="2"/>
        <w:rPr>
          <w:sz w:val="24"/>
          <w:szCs w:val="24"/>
          <w:shd w:val="clear" w:color="auto" w:fill="FFFFFF"/>
        </w:rPr>
      </w:pPr>
      <w:r w:rsidRPr="001E6E29">
        <w:rPr>
          <w:sz w:val="24"/>
          <w:szCs w:val="24"/>
          <w:shd w:val="clear" w:color="auto" w:fill="FFFFFF"/>
        </w:rPr>
        <w:t xml:space="preserve">Таким образом, </w:t>
      </w:r>
      <w:r w:rsidR="003E43EA" w:rsidRPr="003E43EA">
        <w:rPr>
          <w:sz w:val="24"/>
          <w:szCs w:val="24"/>
          <w:shd w:val="clear" w:color="auto" w:fill="FFFFFF"/>
        </w:rPr>
        <w:t xml:space="preserve">ключевые </w:t>
      </w:r>
      <w:r w:rsidR="003D12B3">
        <w:rPr>
          <w:sz w:val="24"/>
          <w:szCs w:val="24"/>
          <w:shd w:val="clear" w:color="auto" w:fill="FFFFFF"/>
        </w:rPr>
        <w:t xml:space="preserve">статистические </w:t>
      </w:r>
      <w:r w:rsidR="003E43EA" w:rsidRPr="003E43EA">
        <w:rPr>
          <w:sz w:val="24"/>
          <w:szCs w:val="24"/>
          <w:shd w:val="clear" w:color="auto" w:fill="FFFFFF"/>
        </w:rPr>
        <w:t xml:space="preserve">показатели свидетельствуют </w:t>
      </w:r>
      <w:r w:rsidR="003E43EA">
        <w:rPr>
          <w:sz w:val="24"/>
          <w:szCs w:val="24"/>
          <w:shd w:val="clear" w:color="auto" w:fill="FFFFFF"/>
        </w:rPr>
        <w:t xml:space="preserve">об улучшении социально-экономической ситуации в </w:t>
      </w:r>
      <w:r w:rsidR="003D12B3">
        <w:rPr>
          <w:sz w:val="24"/>
          <w:szCs w:val="24"/>
          <w:shd w:val="clear" w:color="auto" w:fill="FFFFFF"/>
        </w:rPr>
        <w:t>Тольятти</w:t>
      </w:r>
      <w:r w:rsidR="005E7943">
        <w:rPr>
          <w:sz w:val="24"/>
          <w:szCs w:val="24"/>
          <w:shd w:val="clear" w:color="auto" w:fill="FFFFFF"/>
        </w:rPr>
        <w:t xml:space="preserve"> в текущем году</w:t>
      </w:r>
      <w:r w:rsidR="003E43EA">
        <w:rPr>
          <w:sz w:val="24"/>
          <w:szCs w:val="24"/>
          <w:shd w:val="clear" w:color="auto" w:fill="FFFFFF"/>
        </w:rPr>
        <w:t xml:space="preserve">. </w:t>
      </w:r>
      <w:r w:rsidR="003D12B3">
        <w:rPr>
          <w:sz w:val="24"/>
          <w:szCs w:val="24"/>
          <w:shd w:val="clear" w:color="auto" w:fill="FFFFFF"/>
        </w:rPr>
        <w:t>При этом, о</w:t>
      </w:r>
      <w:r w:rsidR="003E43EA">
        <w:rPr>
          <w:sz w:val="24"/>
          <w:szCs w:val="24"/>
          <w:shd w:val="clear" w:color="auto" w:fill="FFFFFF"/>
        </w:rPr>
        <w:t xml:space="preserve">сновными </w:t>
      </w:r>
      <w:r w:rsidR="005E7943">
        <w:rPr>
          <w:sz w:val="24"/>
          <w:szCs w:val="24"/>
          <w:shd w:val="clear" w:color="auto" w:fill="FFFFFF"/>
        </w:rPr>
        <w:t>проблемами</w:t>
      </w:r>
      <w:r w:rsidR="003E43EA">
        <w:rPr>
          <w:sz w:val="24"/>
          <w:szCs w:val="24"/>
          <w:shd w:val="clear" w:color="auto" w:fill="FFFFFF"/>
        </w:rPr>
        <w:t xml:space="preserve">, </w:t>
      </w:r>
      <w:r w:rsidR="00A50BA4" w:rsidRPr="00EE4418">
        <w:rPr>
          <w:sz w:val="24"/>
          <w:szCs w:val="24"/>
          <w:shd w:val="clear" w:color="auto" w:fill="FFFFFF"/>
        </w:rPr>
        <w:t>сдерживающими развити</w:t>
      </w:r>
      <w:r w:rsidR="003E43EA">
        <w:rPr>
          <w:sz w:val="24"/>
          <w:szCs w:val="24"/>
          <w:shd w:val="clear" w:color="auto" w:fill="FFFFFF"/>
        </w:rPr>
        <w:t>е</w:t>
      </w:r>
      <w:r w:rsidR="00A50BA4" w:rsidRPr="00EE4418">
        <w:rPr>
          <w:sz w:val="24"/>
          <w:szCs w:val="24"/>
          <w:shd w:val="clear" w:color="auto" w:fill="FFFFFF"/>
        </w:rPr>
        <w:t xml:space="preserve"> города, являются:</w:t>
      </w:r>
    </w:p>
    <w:p w:rsidR="00A50BA4" w:rsidRPr="00BE2E1A" w:rsidRDefault="00A50BA4" w:rsidP="00A423B6">
      <w:pPr>
        <w:pStyle w:val="afc"/>
        <w:numPr>
          <w:ilvl w:val="0"/>
          <w:numId w:val="5"/>
        </w:numPr>
        <w:shd w:val="clear" w:color="auto" w:fill="FFFFFF"/>
        <w:suppressAutoHyphens w:val="0"/>
        <w:spacing w:line="276" w:lineRule="auto"/>
        <w:ind w:left="0" w:firstLine="709"/>
        <w:jc w:val="both"/>
        <w:rPr>
          <w:shd w:val="clear" w:color="auto" w:fill="FFFFFF"/>
        </w:rPr>
      </w:pPr>
      <w:r w:rsidRPr="00BE2E1A">
        <w:rPr>
          <w:shd w:val="clear" w:color="auto" w:fill="FFFFFF"/>
        </w:rPr>
        <w:t xml:space="preserve">- высокая зависимость экономического и социального благополучия города от деятельности градообразующего предприятия </w:t>
      </w:r>
      <w:r w:rsidR="006230E3">
        <w:rPr>
          <w:shd w:val="clear" w:color="auto" w:fill="FFFFFF"/>
        </w:rPr>
        <w:t>П</w:t>
      </w:r>
      <w:r w:rsidRPr="00BE2E1A">
        <w:rPr>
          <w:shd w:val="clear" w:color="auto" w:fill="FFFFFF"/>
        </w:rPr>
        <w:t>АО «АВТОВАЗ»</w:t>
      </w:r>
      <w:r w:rsidR="001E6E29">
        <w:rPr>
          <w:shd w:val="clear" w:color="auto" w:fill="FFFFFF"/>
        </w:rPr>
        <w:t xml:space="preserve"> в условиях его нестабильной работы</w:t>
      </w:r>
      <w:r w:rsidRPr="00BE2E1A">
        <w:rPr>
          <w:shd w:val="clear" w:color="auto" w:fill="FFFFFF"/>
        </w:rPr>
        <w:t>;</w:t>
      </w:r>
    </w:p>
    <w:p w:rsidR="003D12B3" w:rsidRDefault="00A50BA4" w:rsidP="00A423B6">
      <w:pPr>
        <w:pStyle w:val="afc"/>
        <w:numPr>
          <w:ilvl w:val="0"/>
          <w:numId w:val="5"/>
        </w:numPr>
        <w:shd w:val="clear" w:color="auto" w:fill="FFFFFF"/>
        <w:suppressAutoHyphens w:val="0"/>
        <w:spacing w:line="276" w:lineRule="auto"/>
        <w:ind w:left="0" w:firstLine="709"/>
        <w:jc w:val="both"/>
        <w:rPr>
          <w:shd w:val="clear" w:color="auto" w:fill="FFFFFF"/>
        </w:rPr>
      </w:pPr>
      <w:r w:rsidRPr="00BE2E1A">
        <w:rPr>
          <w:shd w:val="clear" w:color="auto" w:fill="FFFFFF"/>
        </w:rPr>
        <w:t xml:space="preserve">- недостаток финансовых </w:t>
      </w:r>
      <w:r w:rsidR="003D12B3">
        <w:rPr>
          <w:shd w:val="clear" w:color="auto" w:fill="FFFFFF"/>
        </w:rPr>
        <w:t>средств у</w:t>
      </w:r>
      <w:r w:rsidRPr="00BE2E1A">
        <w:rPr>
          <w:shd w:val="clear" w:color="auto" w:fill="FFFFFF"/>
        </w:rPr>
        <w:t xml:space="preserve"> предприятий, </w:t>
      </w:r>
      <w:r w:rsidR="003D12B3" w:rsidRPr="003D12B3">
        <w:rPr>
          <w:shd w:val="clear" w:color="auto" w:fill="FFFFFF"/>
        </w:rPr>
        <w:t>высокая степень износа основных производственных фондов</w:t>
      </w:r>
      <w:r w:rsidR="003D12B3">
        <w:rPr>
          <w:shd w:val="clear" w:color="auto" w:fill="FFFFFF"/>
        </w:rPr>
        <w:t>,</w:t>
      </w:r>
      <w:r w:rsidR="003D12B3" w:rsidRPr="003D12B3">
        <w:rPr>
          <w:shd w:val="clear" w:color="auto" w:fill="FFFFFF"/>
        </w:rPr>
        <w:t xml:space="preserve"> </w:t>
      </w:r>
      <w:r w:rsidR="003D12B3">
        <w:rPr>
          <w:shd w:val="clear" w:color="auto" w:fill="FFFFFF"/>
        </w:rPr>
        <w:t>низкие темпы</w:t>
      </w:r>
      <w:r w:rsidRPr="00BE2E1A">
        <w:rPr>
          <w:shd w:val="clear" w:color="auto" w:fill="FFFFFF"/>
        </w:rPr>
        <w:t xml:space="preserve"> рост</w:t>
      </w:r>
      <w:r w:rsidR="003D12B3">
        <w:rPr>
          <w:shd w:val="clear" w:color="auto" w:fill="FFFFFF"/>
        </w:rPr>
        <w:t>а</w:t>
      </w:r>
      <w:r w:rsidRPr="00BE2E1A">
        <w:rPr>
          <w:shd w:val="clear" w:color="auto" w:fill="FFFFFF"/>
        </w:rPr>
        <w:t xml:space="preserve"> производительности труда, зависимость от конъюнктуры рынков сбыта</w:t>
      </w:r>
      <w:r w:rsidR="003D12B3">
        <w:rPr>
          <w:shd w:val="clear" w:color="auto" w:fill="FFFFFF"/>
        </w:rPr>
        <w:t xml:space="preserve">; </w:t>
      </w:r>
    </w:p>
    <w:p w:rsidR="00A50BA4" w:rsidRDefault="003D12B3" w:rsidP="00A423B6">
      <w:pPr>
        <w:pStyle w:val="afc"/>
        <w:numPr>
          <w:ilvl w:val="0"/>
          <w:numId w:val="5"/>
        </w:numPr>
        <w:shd w:val="clear" w:color="auto" w:fill="FFFFFF"/>
        <w:suppressAutoHyphens w:val="0"/>
        <w:spacing w:line="276" w:lineRule="auto"/>
        <w:ind w:left="0" w:firstLine="709"/>
        <w:jc w:val="both"/>
        <w:rPr>
          <w:shd w:val="clear" w:color="auto" w:fill="FFFFFF"/>
        </w:rPr>
      </w:pPr>
      <w:r>
        <w:rPr>
          <w:shd w:val="clear" w:color="auto" w:fill="FFFFFF"/>
        </w:rPr>
        <w:t>- недостаточный объем инвестиций</w:t>
      </w:r>
      <w:r w:rsidR="00A50BA4" w:rsidRPr="00BE2E1A">
        <w:rPr>
          <w:shd w:val="clear" w:color="auto" w:fill="FFFFFF"/>
        </w:rPr>
        <w:t>;</w:t>
      </w:r>
    </w:p>
    <w:p w:rsidR="00A50BA4" w:rsidRDefault="00A50BA4" w:rsidP="00A423B6">
      <w:pPr>
        <w:pStyle w:val="afc"/>
        <w:numPr>
          <w:ilvl w:val="0"/>
          <w:numId w:val="5"/>
        </w:numPr>
        <w:shd w:val="clear" w:color="auto" w:fill="FFFFFF"/>
        <w:suppressAutoHyphens w:val="0"/>
        <w:spacing w:line="276" w:lineRule="auto"/>
        <w:ind w:left="0" w:firstLine="709"/>
        <w:jc w:val="both"/>
        <w:rPr>
          <w:shd w:val="clear" w:color="auto" w:fill="FFFFFF"/>
        </w:rPr>
      </w:pPr>
      <w:r w:rsidRPr="00BE2E1A">
        <w:rPr>
          <w:shd w:val="clear" w:color="auto" w:fill="FFFFFF"/>
        </w:rPr>
        <w:t xml:space="preserve">- сокращение численности трудоспособного населения, миграционный отток; </w:t>
      </w:r>
    </w:p>
    <w:p w:rsidR="006230E3" w:rsidRPr="00CB1A3B" w:rsidRDefault="00A50BA4" w:rsidP="00A423B6">
      <w:pPr>
        <w:pStyle w:val="afc"/>
        <w:numPr>
          <w:ilvl w:val="0"/>
          <w:numId w:val="5"/>
        </w:numPr>
        <w:shd w:val="clear" w:color="auto" w:fill="FFFFFF"/>
        <w:suppressAutoHyphens w:val="0"/>
        <w:spacing w:line="276" w:lineRule="auto"/>
        <w:ind w:left="0" w:firstLine="709"/>
        <w:jc w:val="both"/>
        <w:rPr>
          <w:color w:val="000000"/>
          <w:szCs w:val="28"/>
        </w:rPr>
      </w:pPr>
      <w:r w:rsidRPr="00CB1A3B">
        <w:rPr>
          <w:shd w:val="clear" w:color="auto" w:fill="FFFFFF"/>
        </w:rPr>
        <w:t xml:space="preserve">- </w:t>
      </w:r>
      <w:r w:rsidR="00194DE6" w:rsidRPr="00CB1A3B">
        <w:rPr>
          <w:shd w:val="clear" w:color="auto" w:fill="FFFFFF"/>
        </w:rPr>
        <w:t>недостаточный уровень доходов городского бюджета</w:t>
      </w:r>
      <w:r w:rsidR="003968DD" w:rsidRPr="00CB1A3B">
        <w:rPr>
          <w:shd w:val="clear" w:color="auto" w:fill="FFFFFF"/>
        </w:rPr>
        <w:t xml:space="preserve"> при одновременном росте текущих расходов</w:t>
      </w:r>
      <w:r w:rsidR="00CB1A3B">
        <w:rPr>
          <w:shd w:val="clear" w:color="auto" w:fill="FFFFFF"/>
        </w:rPr>
        <w:t xml:space="preserve">, </w:t>
      </w:r>
      <w:r w:rsidR="00726A80" w:rsidRPr="00CB1A3B">
        <w:rPr>
          <w:shd w:val="clear" w:color="auto" w:fill="FFFFFF"/>
        </w:rPr>
        <w:t>ежегодный рост муниципального долга и расходов на его обслуживание</w:t>
      </w:r>
      <w:r w:rsidR="00194DE6" w:rsidRPr="00CB1A3B">
        <w:rPr>
          <w:shd w:val="clear" w:color="auto" w:fill="FFFFFF"/>
        </w:rPr>
        <w:t>.</w:t>
      </w:r>
    </w:p>
    <w:p w:rsidR="00A50BA4" w:rsidRPr="006230E3" w:rsidRDefault="00A50BA4" w:rsidP="00A423B6">
      <w:pPr>
        <w:pStyle w:val="afc"/>
        <w:numPr>
          <w:ilvl w:val="0"/>
          <w:numId w:val="5"/>
        </w:numPr>
        <w:shd w:val="clear" w:color="auto" w:fill="FFFFFF"/>
        <w:suppressAutoHyphens w:val="0"/>
        <w:spacing w:line="276" w:lineRule="auto"/>
        <w:ind w:left="0" w:firstLine="709"/>
        <w:jc w:val="both"/>
        <w:rPr>
          <w:color w:val="000000"/>
          <w:szCs w:val="28"/>
        </w:rPr>
      </w:pPr>
      <w:r w:rsidRPr="006230E3">
        <w:rPr>
          <w:color w:val="000000"/>
          <w:szCs w:val="28"/>
        </w:rPr>
        <w:t>При этом</w:t>
      </w:r>
      <w:r w:rsidR="00505AFD" w:rsidRPr="006230E3">
        <w:rPr>
          <w:color w:val="000000"/>
          <w:szCs w:val="28"/>
        </w:rPr>
        <w:t>,</w:t>
      </w:r>
      <w:r w:rsidRPr="006230E3">
        <w:rPr>
          <w:color w:val="000000"/>
          <w:szCs w:val="28"/>
        </w:rPr>
        <w:t xml:space="preserve"> </w:t>
      </w:r>
      <w:r w:rsidR="00BE2E1A" w:rsidRPr="006230E3">
        <w:rPr>
          <w:color w:val="000000"/>
          <w:szCs w:val="28"/>
        </w:rPr>
        <w:t>администрация</w:t>
      </w:r>
      <w:r w:rsidRPr="006230E3">
        <w:rPr>
          <w:color w:val="000000"/>
          <w:szCs w:val="28"/>
        </w:rPr>
        <w:t xml:space="preserve"> городского округа Тольятти предпринимает все </w:t>
      </w:r>
      <w:r w:rsidR="005E1BAA">
        <w:rPr>
          <w:color w:val="000000"/>
          <w:szCs w:val="28"/>
        </w:rPr>
        <w:t>возможные</w:t>
      </w:r>
      <w:r w:rsidRPr="006230E3">
        <w:rPr>
          <w:color w:val="000000"/>
          <w:szCs w:val="28"/>
        </w:rPr>
        <w:t xml:space="preserve"> меры в рамках своих полномочий, направленные на стабилизацию социально-экономической ситуации и дальнейшее развитие города. </w:t>
      </w:r>
    </w:p>
    <w:p w:rsidR="00A50BA4" w:rsidRDefault="00A50BA4" w:rsidP="00C16FFD">
      <w:pPr>
        <w:rPr>
          <w:sz w:val="24"/>
          <w:szCs w:val="24"/>
        </w:rPr>
      </w:pPr>
    </w:p>
    <w:p w:rsidR="00792212" w:rsidRDefault="00792212" w:rsidP="00842426">
      <w:pPr>
        <w:jc w:val="both"/>
        <w:outlineLvl w:val="0"/>
        <w:rPr>
          <w:sz w:val="24"/>
          <w:szCs w:val="24"/>
        </w:rPr>
      </w:pPr>
    </w:p>
    <w:p w:rsidR="00355505" w:rsidRDefault="00355505" w:rsidP="00842426">
      <w:pPr>
        <w:jc w:val="both"/>
        <w:outlineLvl w:val="0"/>
        <w:rPr>
          <w:sz w:val="24"/>
          <w:szCs w:val="24"/>
        </w:rPr>
      </w:pPr>
    </w:p>
    <w:p w:rsidR="00355505" w:rsidRDefault="00355505" w:rsidP="00842426">
      <w:pPr>
        <w:jc w:val="both"/>
        <w:outlineLvl w:val="0"/>
        <w:rPr>
          <w:sz w:val="24"/>
          <w:szCs w:val="24"/>
        </w:rPr>
      </w:pPr>
    </w:p>
    <w:p w:rsidR="00355505" w:rsidRDefault="00355505" w:rsidP="00842426">
      <w:pPr>
        <w:jc w:val="both"/>
        <w:outlineLvl w:val="0"/>
        <w:rPr>
          <w:sz w:val="24"/>
          <w:szCs w:val="24"/>
        </w:rPr>
      </w:pPr>
    </w:p>
    <w:p w:rsidR="00792212" w:rsidRDefault="00792212" w:rsidP="00842426">
      <w:pPr>
        <w:jc w:val="both"/>
        <w:outlineLvl w:val="0"/>
        <w:rPr>
          <w:sz w:val="24"/>
          <w:szCs w:val="24"/>
        </w:rPr>
      </w:pPr>
    </w:p>
    <w:p w:rsidR="00A50BA4" w:rsidRPr="0076476B" w:rsidRDefault="006230E3" w:rsidP="00842426">
      <w:pPr>
        <w:jc w:val="both"/>
        <w:outlineLvl w:val="0"/>
        <w:rPr>
          <w:sz w:val="24"/>
          <w:szCs w:val="24"/>
        </w:rPr>
      </w:pPr>
      <w:r>
        <w:rPr>
          <w:sz w:val="24"/>
          <w:szCs w:val="24"/>
        </w:rPr>
        <w:t>И.о. р</w:t>
      </w:r>
      <w:r w:rsidR="00A50BA4" w:rsidRPr="0076476B">
        <w:rPr>
          <w:sz w:val="24"/>
          <w:szCs w:val="24"/>
        </w:rPr>
        <w:t>уководител</w:t>
      </w:r>
      <w:r>
        <w:rPr>
          <w:sz w:val="24"/>
          <w:szCs w:val="24"/>
        </w:rPr>
        <w:t>я</w:t>
      </w:r>
      <w:r w:rsidR="00A50BA4" w:rsidRPr="0076476B">
        <w:rPr>
          <w:sz w:val="24"/>
          <w:szCs w:val="24"/>
        </w:rPr>
        <w:t xml:space="preserve"> департамента  </w:t>
      </w:r>
    </w:p>
    <w:p w:rsidR="00A50BA4" w:rsidRPr="0076476B" w:rsidRDefault="00A50BA4" w:rsidP="00842426">
      <w:pPr>
        <w:jc w:val="both"/>
        <w:outlineLvl w:val="0"/>
        <w:rPr>
          <w:sz w:val="24"/>
          <w:szCs w:val="24"/>
        </w:rPr>
      </w:pPr>
      <w:r w:rsidRPr="0076476B">
        <w:rPr>
          <w:sz w:val="24"/>
          <w:szCs w:val="24"/>
        </w:rPr>
        <w:t>экономического развития</w:t>
      </w:r>
      <w:r w:rsidRPr="0076476B">
        <w:rPr>
          <w:sz w:val="24"/>
          <w:szCs w:val="24"/>
        </w:rPr>
        <w:tab/>
      </w:r>
      <w:r w:rsidRPr="0076476B">
        <w:rPr>
          <w:sz w:val="24"/>
          <w:szCs w:val="24"/>
        </w:rPr>
        <w:tab/>
      </w:r>
      <w:r w:rsidR="006230E3">
        <w:rPr>
          <w:sz w:val="24"/>
          <w:szCs w:val="24"/>
        </w:rPr>
        <w:t xml:space="preserve">                                                                      Е.В.Демидова</w:t>
      </w:r>
      <w:r w:rsidRPr="0076476B">
        <w:rPr>
          <w:sz w:val="24"/>
          <w:szCs w:val="24"/>
        </w:rPr>
        <w:tab/>
      </w:r>
      <w:r w:rsidRPr="0076476B">
        <w:rPr>
          <w:sz w:val="24"/>
          <w:szCs w:val="24"/>
        </w:rPr>
        <w:tab/>
        <w:t xml:space="preserve">                </w:t>
      </w:r>
      <w:r w:rsidR="00C952D2">
        <w:rPr>
          <w:sz w:val="24"/>
          <w:szCs w:val="24"/>
        </w:rPr>
        <w:t xml:space="preserve">   </w:t>
      </w:r>
      <w:r w:rsidRPr="0076476B">
        <w:rPr>
          <w:sz w:val="24"/>
          <w:szCs w:val="24"/>
        </w:rPr>
        <w:t xml:space="preserve">                     </w:t>
      </w:r>
      <w:r>
        <w:rPr>
          <w:sz w:val="24"/>
          <w:szCs w:val="24"/>
        </w:rPr>
        <w:t xml:space="preserve"> </w:t>
      </w:r>
      <w:r w:rsidRPr="0076476B">
        <w:rPr>
          <w:sz w:val="24"/>
          <w:szCs w:val="24"/>
        </w:rPr>
        <w:t xml:space="preserve"> </w:t>
      </w:r>
      <w:r>
        <w:rPr>
          <w:sz w:val="24"/>
          <w:szCs w:val="24"/>
        </w:rPr>
        <w:t xml:space="preserve">    </w:t>
      </w:r>
      <w:r w:rsidRPr="0076476B">
        <w:rPr>
          <w:sz w:val="24"/>
          <w:szCs w:val="24"/>
        </w:rPr>
        <w:t xml:space="preserve"> </w:t>
      </w:r>
      <w:r w:rsidR="006230E3">
        <w:rPr>
          <w:sz w:val="24"/>
          <w:szCs w:val="24"/>
        </w:rPr>
        <w:t xml:space="preserve"> </w:t>
      </w:r>
    </w:p>
    <w:p w:rsidR="00792212" w:rsidRDefault="00792212" w:rsidP="00842426">
      <w:pPr>
        <w:jc w:val="both"/>
        <w:outlineLvl w:val="0"/>
        <w:rPr>
          <w:sz w:val="24"/>
          <w:szCs w:val="24"/>
        </w:rPr>
      </w:pPr>
    </w:p>
    <w:p w:rsidR="00792212" w:rsidRDefault="00792212" w:rsidP="00842426">
      <w:pPr>
        <w:jc w:val="both"/>
        <w:outlineLvl w:val="0"/>
        <w:rPr>
          <w:sz w:val="24"/>
          <w:szCs w:val="24"/>
        </w:rPr>
      </w:pPr>
    </w:p>
    <w:p w:rsidR="00792212" w:rsidRDefault="00792212" w:rsidP="00842426">
      <w:pPr>
        <w:jc w:val="both"/>
        <w:outlineLvl w:val="0"/>
        <w:rPr>
          <w:sz w:val="24"/>
          <w:szCs w:val="24"/>
        </w:rPr>
      </w:pPr>
    </w:p>
    <w:p w:rsidR="00792212" w:rsidRDefault="00792212" w:rsidP="00842426">
      <w:pPr>
        <w:jc w:val="both"/>
        <w:outlineLvl w:val="0"/>
        <w:rPr>
          <w:sz w:val="24"/>
          <w:szCs w:val="24"/>
        </w:rPr>
      </w:pPr>
    </w:p>
    <w:p w:rsidR="00792212" w:rsidRDefault="00792212" w:rsidP="00842426">
      <w:pPr>
        <w:jc w:val="both"/>
        <w:outlineLvl w:val="0"/>
        <w:rPr>
          <w:sz w:val="24"/>
          <w:szCs w:val="24"/>
        </w:rPr>
      </w:pPr>
    </w:p>
    <w:sectPr w:rsidR="00792212" w:rsidSect="00792212">
      <w:headerReference w:type="default" r:id="rId9"/>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E3" w:rsidRDefault="00B347E3">
      <w:r>
        <w:separator/>
      </w:r>
    </w:p>
  </w:endnote>
  <w:endnote w:type="continuationSeparator" w:id="0">
    <w:p w:rsidR="00B347E3" w:rsidRDefault="00B3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E3" w:rsidRDefault="00B347E3">
      <w:r>
        <w:separator/>
      </w:r>
    </w:p>
  </w:footnote>
  <w:footnote w:type="continuationSeparator" w:id="0">
    <w:p w:rsidR="00B347E3" w:rsidRDefault="00B347E3">
      <w:r>
        <w:continuationSeparator/>
      </w:r>
    </w:p>
  </w:footnote>
  <w:footnote w:id="1">
    <w:p w:rsidR="00B347E3" w:rsidRDefault="00B347E3" w:rsidP="004D3812">
      <w:pPr>
        <w:pStyle w:val="aff0"/>
      </w:pPr>
      <w:r w:rsidRPr="00217DA2">
        <w:rPr>
          <w:rStyle w:val="affc"/>
        </w:rPr>
        <w:footnoteRef/>
      </w:r>
      <w:r w:rsidRPr="00217DA2">
        <w:t xml:space="preserve"> </w:t>
      </w:r>
      <w:r>
        <w:t>данные с официального сайта ПАО «АВТОВАЗ» в сети Интернет (</w:t>
      </w:r>
      <w:hyperlink r:id="rId1" w:history="1">
        <w:r w:rsidRPr="00DE668E">
          <w:rPr>
            <w:rStyle w:val="aff8"/>
          </w:rPr>
          <w:t>http://www.lada.ru/press-releases/113663.html</w:t>
        </w:r>
      </w:hyperlink>
      <w:r>
        <w:t>)</w:t>
      </w:r>
    </w:p>
  </w:footnote>
  <w:footnote w:id="2">
    <w:p w:rsidR="00B347E3" w:rsidRDefault="00B347E3" w:rsidP="004D3812">
      <w:pPr>
        <w:pStyle w:val="aff0"/>
      </w:pPr>
      <w:r w:rsidRPr="004D3812">
        <w:rPr>
          <w:rStyle w:val="affc"/>
        </w:rPr>
        <w:footnoteRef/>
      </w:r>
      <w:r w:rsidRPr="004D3812">
        <w:t xml:space="preserve"> данные с сайта Август Новости в сети Интернет (</w:t>
      </w:r>
      <w:hyperlink r:id="rId2" w:history="1">
        <w:r w:rsidRPr="004D3812">
          <w:rPr>
            <w:rStyle w:val="aff8"/>
          </w:rPr>
          <w:t>http://augustnews.ru/avtovaz-430-millionov-rublej-na-podderzhku-5131-cheloveka/</w:t>
        </w:r>
      </w:hyperlink>
      <w:r w:rsidRPr="004D3812">
        <w:t>)</w:t>
      </w:r>
    </w:p>
  </w:footnote>
  <w:footnote w:id="3">
    <w:p w:rsidR="00B347E3" w:rsidRDefault="00B347E3" w:rsidP="005A227E">
      <w:pPr>
        <w:pStyle w:val="aff0"/>
      </w:pPr>
      <w:r>
        <w:rPr>
          <w:rStyle w:val="affc"/>
        </w:rPr>
        <w:footnoteRef/>
      </w:r>
      <w:r>
        <w:t xml:space="preserve"> данные с официального сайта ПАО «АВТОВАЗ» в сети Интернет (</w:t>
      </w:r>
      <w:hyperlink r:id="rId3" w:history="1">
        <w:r w:rsidRPr="00982B7E">
          <w:rPr>
            <w:rStyle w:val="aff8"/>
          </w:rPr>
          <w:t>http://info.avtovaz.ru/index.php?id=301</w:t>
        </w:r>
      </w:hyperlink>
      <w:r>
        <w:t xml:space="preserve">) </w:t>
      </w:r>
    </w:p>
  </w:footnote>
  <w:footnote w:id="4">
    <w:p w:rsidR="00B347E3" w:rsidRDefault="00B347E3" w:rsidP="005A227E">
      <w:pPr>
        <w:pStyle w:val="aff0"/>
      </w:pPr>
      <w:r>
        <w:rPr>
          <w:rStyle w:val="affc"/>
        </w:rPr>
        <w:footnoteRef/>
      </w:r>
      <w:r>
        <w:t xml:space="preserve"> данные с официального сайта ПАО «Куйбышевазот» в сети Интернет </w:t>
      </w:r>
      <w:r>
        <w:rPr>
          <w:sz w:val="24"/>
          <w:szCs w:val="24"/>
        </w:rPr>
        <w:t>(</w:t>
      </w:r>
      <w:hyperlink r:id="rId4" w:history="1">
        <w:r w:rsidRPr="00982B7E">
          <w:rPr>
            <w:rStyle w:val="aff8"/>
            <w:sz w:val="24"/>
            <w:szCs w:val="24"/>
          </w:rPr>
          <w:t>http://www.kuazot.ru/rus/forinvestors</w:t>
        </w:r>
      </w:hyperlink>
      <w:r>
        <w:rPr>
          <w:sz w:val="24"/>
          <w:szCs w:val="24"/>
        </w:rPr>
        <w:t>)</w:t>
      </w:r>
    </w:p>
  </w:footnote>
  <w:footnote w:id="5">
    <w:p w:rsidR="00B347E3" w:rsidRPr="00EA6FE1" w:rsidRDefault="00B347E3" w:rsidP="005A227E">
      <w:pPr>
        <w:pStyle w:val="aff1"/>
        <w:spacing w:line="240" w:lineRule="auto"/>
        <w:ind w:firstLine="0"/>
        <w:rPr>
          <w:sz w:val="20"/>
          <w:szCs w:val="20"/>
        </w:rPr>
      </w:pPr>
      <w:r>
        <w:rPr>
          <w:rStyle w:val="affc"/>
        </w:rPr>
        <w:footnoteRef/>
      </w:r>
      <w:r>
        <w:t xml:space="preserve"> </w:t>
      </w:r>
      <w:r>
        <w:rPr>
          <w:sz w:val="20"/>
          <w:szCs w:val="20"/>
        </w:rPr>
        <w:t>д</w:t>
      </w:r>
      <w:r w:rsidRPr="00EA6FE1">
        <w:rPr>
          <w:sz w:val="20"/>
          <w:szCs w:val="20"/>
        </w:rPr>
        <w:t>анные с официального сайта раскрытия информации ПАО «Тольяттиазот» (</w:t>
      </w:r>
      <w:hyperlink r:id="rId5" w:history="1">
        <w:r w:rsidRPr="00EA6FE1">
          <w:rPr>
            <w:rStyle w:val="aff8"/>
            <w:sz w:val="20"/>
            <w:szCs w:val="20"/>
          </w:rPr>
          <w:t>http://www.e-disclosure.ru/portal/files.aspx?id=23343&amp;type=5</w:t>
        </w:r>
      </w:hyperlink>
      <w:r w:rsidRPr="00EA6FE1">
        <w:rPr>
          <w:sz w:val="20"/>
          <w:szCs w:val="20"/>
        </w:rPr>
        <w:t xml:space="preserve">) </w:t>
      </w:r>
    </w:p>
    <w:p w:rsidR="00B347E3" w:rsidRDefault="00B347E3" w:rsidP="005A227E">
      <w:pPr>
        <w:pStyle w:val="aff0"/>
      </w:pPr>
    </w:p>
  </w:footnote>
  <w:footnote w:id="6">
    <w:p w:rsidR="00B347E3" w:rsidRDefault="00B347E3" w:rsidP="005A227E">
      <w:pPr>
        <w:pStyle w:val="aff0"/>
      </w:pPr>
      <w:r>
        <w:rPr>
          <w:rStyle w:val="affc"/>
        </w:rPr>
        <w:footnoteRef/>
      </w:r>
      <w:r>
        <w:t xml:space="preserve"> </w:t>
      </w:r>
      <w:r w:rsidRPr="00DD1F49">
        <w:t xml:space="preserve">по </w:t>
      </w:r>
      <w:r>
        <w:t>данным формы № 1- НМ «</w:t>
      </w:r>
      <w:r w:rsidRPr="00DD1F49">
        <w:t>Отчет о начислении и поступлении налогов, сборов и иных обязательных платежей в бюджетную систему Российской Федерации</w:t>
      </w:r>
      <w:r>
        <w:t>»</w:t>
      </w:r>
      <w:r w:rsidRPr="00DD1F49">
        <w:t xml:space="preserve"> официального сайта Федеральной налоговой службы России</w:t>
      </w:r>
      <w:r>
        <w:t xml:space="preserve"> (</w:t>
      </w:r>
      <w:hyperlink r:id="rId6" w:history="1">
        <w:r w:rsidRPr="00982B7E">
          <w:rPr>
            <w:rStyle w:val="aff8"/>
          </w:rPr>
          <w:t>https://www.nalog.ru/rn63/related_activities/statistics_and_analytics/forms/</w:t>
        </w:r>
      </w:hyperlink>
      <w:r>
        <w:t xml:space="preserve"> )</w:t>
      </w:r>
    </w:p>
  </w:footnote>
  <w:footnote w:id="7">
    <w:p w:rsidR="00B347E3" w:rsidRDefault="00B347E3">
      <w:pPr>
        <w:pStyle w:val="aff0"/>
      </w:pPr>
      <w:r>
        <w:rPr>
          <w:rStyle w:val="affc"/>
        </w:rPr>
        <w:footnoteRef/>
      </w:r>
      <w:r>
        <w:t xml:space="preserve"> </w:t>
      </w:r>
      <w:hyperlink r:id="rId7" w:history="1">
        <w:r w:rsidRPr="009520A7">
          <w:rPr>
            <w:rStyle w:val="aff8"/>
          </w:rPr>
          <w:t>http://economy.samregion.ru/activity/mun_razv/reitingi/gorodskie-okruga/</w:t>
        </w:r>
      </w:hyperlink>
      <w:r>
        <w:t xml:space="preserve"> </w:t>
      </w:r>
    </w:p>
  </w:footnote>
  <w:footnote w:id="8">
    <w:p w:rsidR="00B347E3" w:rsidRPr="00EE59B2" w:rsidRDefault="00B347E3" w:rsidP="005A227E">
      <w:pPr>
        <w:widowControl w:val="0"/>
        <w:spacing w:line="276" w:lineRule="auto"/>
        <w:ind w:firstLine="709"/>
        <w:jc w:val="both"/>
      </w:pPr>
      <w:r>
        <w:rPr>
          <w:rStyle w:val="affc"/>
        </w:rPr>
        <w:footnoteRef/>
      </w:r>
      <w:r>
        <w:t xml:space="preserve"> Прирост </w:t>
      </w:r>
      <w:r w:rsidRPr="00EE59B2">
        <w:t>в 1 полугодии 2017 года</w:t>
      </w:r>
      <w:r>
        <w:t xml:space="preserve"> прибыли </w:t>
      </w:r>
      <w:r w:rsidRPr="00EE59B2">
        <w:t xml:space="preserve">организаций, </w:t>
      </w:r>
      <w:r>
        <w:t xml:space="preserve">не относящихся к химическому производству, сложился по виду деятельности </w:t>
      </w:r>
      <w:r w:rsidRPr="00EE59B2">
        <w:t>«торговля оптовая автомобильными деталями, узлами и принадлежностями, кроме деятельности агентов», что может быть связано как с началом деятельности нов</w:t>
      </w:r>
      <w:r>
        <w:t>ой (-</w:t>
      </w:r>
      <w:r w:rsidRPr="00EE59B2">
        <w:t>ых</w:t>
      </w:r>
      <w:r>
        <w:t>)</w:t>
      </w:r>
      <w:r w:rsidRPr="00EE59B2">
        <w:t xml:space="preserve"> организац</w:t>
      </w:r>
      <w:r>
        <w:t>ии (-</w:t>
      </w:r>
      <w:r w:rsidRPr="00EE59B2">
        <w:t>ий</w:t>
      </w:r>
      <w:r>
        <w:t>)</w:t>
      </w:r>
      <w:r w:rsidRPr="00EE59B2">
        <w:t>, так и с переход</w:t>
      </w:r>
      <w:r>
        <w:t>ом</w:t>
      </w:r>
      <w:r w:rsidRPr="00EE59B2">
        <w:t xml:space="preserve"> </w:t>
      </w:r>
      <w:r>
        <w:t xml:space="preserve">с 2017 года </w:t>
      </w:r>
      <w:r w:rsidRPr="00EE59B2">
        <w:t>статистического учета на новый ОКВЭД;</w:t>
      </w:r>
    </w:p>
    <w:p w:rsidR="00B347E3" w:rsidRDefault="00B347E3" w:rsidP="005A227E">
      <w:pPr>
        <w:pStyle w:val="af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7E3" w:rsidRDefault="007E0F2A">
    <w:pPr>
      <w:pStyle w:val="af8"/>
      <w:jc w:val="center"/>
    </w:pPr>
    <w:r>
      <w:fldChar w:fldCharType="begin"/>
    </w:r>
    <w:r>
      <w:instrText xml:space="preserve"> PAGE </w:instrText>
    </w:r>
    <w:r>
      <w:fldChar w:fldCharType="separate"/>
    </w:r>
    <w:r>
      <w:rPr>
        <w:noProof/>
      </w:rPr>
      <w:t>36</w:t>
    </w:r>
    <w:r>
      <w:rPr>
        <w:noProof/>
      </w:rPr>
      <w:fldChar w:fldCharType="end"/>
    </w:r>
  </w:p>
  <w:p w:rsidR="00B347E3" w:rsidRDefault="00B347E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69A6F1D"/>
    <w:multiLevelType w:val="hybridMultilevel"/>
    <w:tmpl w:val="7454473C"/>
    <w:lvl w:ilvl="0" w:tplc="77628C3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9605F1"/>
    <w:multiLevelType w:val="hybridMultilevel"/>
    <w:tmpl w:val="A47E0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3F2D36"/>
    <w:multiLevelType w:val="hybridMultilevel"/>
    <w:tmpl w:val="22AA41DC"/>
    <w:lvl w:ilvl="0" w:tplc="94CE44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FF944B4"/>
    <w:multiLevelType w:val="hybridMultilevel"/>
    <w:tmpl w:val="A428FBBE"/>
    <w:lvl w:ilvl="0" w:tplc="55B225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4672D46"/>
    <w:multiLevelType w:val="hybridMultilevel"/>
    <w:tmpl w:val="85EE8240"/>
    <w:lvl w:ilvl="0" w:tplc="C65C3A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D3588F"/>
    <w:multiLevelType w:val="hybridMultilevel"/>
    <w:tmpl w:val="F558D436"/>
    <w:lvl w:ilvl="0" w:tplc="D1125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1">
    <w:nsid w:val="7CFB0CBC"/>
    <w:multiLevelType w:val="hybridMultilevel"/>
    <w:tmpl w:val="66AC2B6A"/>
    <w:lvl w:ilvl="0" w:tplc="3104E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9"/>
  </w:num>
  <w:num w:numId="10">
    <w:abstractNumId w:val="1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C60A8"/>
    <w:rsid w:val="00000D3B"/>
    <w:rsid w:val="00000D7A"/>
    <w:rsid w:val="00000DB9"/>
    <w:rsid w:val="00001381"/>
    <w:rsid w:val="00003FA1"/>
    <w:rsid w:val="00004325"/>
    <w:rsid w:val="00006079"/>
    <w:rsid w:val="00010D06"/>
    <w:rsid w:val="00012FC0"/>
    <w:rsid w:val="000145B6"/>
    <w:rsid w:val="0001660B"/>
    <w:rsid w:val="0001678C"/>
    <w:rsid w:val="0001717F"/>
    <w:rsid w:val="00017E75"/>
    <w:rsid w:val="000203F9"/>
    <w:rsid w:val="000209B8"/>
    <w:rsid w:val="00021EC8"/>
    <w:rsid w:val="0002266D"/>
    <w:rsid w:val="00022EEA"/>
    <w:rsid w:val="00026601"/>
    <w:rsid w:val="000266F9"/>
    <w:rsid w:val="00027DB6"/>
    <w:rsid w:val="0003059F"/>
    <w:rsid w:val="00030683"/>
    <w:rsid w:val="00030C71"/>
    <w:rsid w:val="000316E5"/>
    <w:rsid w:val="0003336A"/>
    <w:rsid w:val="00033382"/>
    <w:rsid w:val="00034540"/>
    <w:rsid w:val="00034B55"/>
    <w:rsid w:val="00034D05"/>
    <w:rsid w:val="000355FA"/>
    <w:rsid w:val="00035FAE"/>
    <w:rsid w:val="000361BF"/>
    <w:rsid w:val="000361CC"/>
    <w:rsid w:val="00036307"/>
    <w:rsid w:val="00036D9B"/>
    <w:rsid w:val="00041093"/>
    <w:rsid w:val="000420C4"/>
    <w:rsid w:val="00042595"/>
    <w:rsid w:val="00044238"/>
    <w:rsid w:val="000447D9"/>
    <w:rsid w:val="00044D69"/>
    <w:rsid w:val="000461F5"/>
    <w:rsid w:val="0004675F"/>
    <w:rsid w:val="000471E0"/>
    <w:rsid w:val="0005141D"/>
    <w:rsid w:val="0005237A"/>
    <w:rsid w:val="0005370E"/>
    <w:rsid w:val="00053D89"/>
    <w:rsid w:val="0005613F"/>
    <w:rsid w:val="00056B5C"/>
    <w:rsid w:val="0006149C"/>
    <w:rsid w:val="0006286B"/>
    <w:rsid w:val="00062D16"/>
    <w:rsid w:val="000630E5"/>
    <w:rsid w:val="00065118"/>
    <w:rsid w:val="0006581E"/>
    <w:rsid w:val="0006670E"/>
    <w:rsid w:val="00066E74"/>
    <w:rsid w:val="000672B5"/>
    <w:rsid w:val="00070DA2"/>
    <w:rsid w:val="0007494B"/>
    <w:rsid w:val="00076DD1"/>
    <w:rsid w:val="00077747"/>
    <w:rsid w:val="000821C9"/>
    <w:rsid w:val="00082903"/>
    <w:rsid w:val="00084E27"/>
    <w:rsid w:val="0009090B"/>
    <w:rsid w:val="000930C4"/>
    <w:rsid w:val="000932D5"/>
    <w:rsid w:val="00093E1E"/>
    <w:rsid w:val="00093EC9"/>
    <w:rsid w:val="00094DE7"/>
    <w:rsid w:val="00095C66"/>
    <w:rsid w:val="00095D52"/>
    <w:rsid w:val="000A214A"/>
    <w:rsid w:val="000A35E6"/>
    <w:rsid w:val="000A372A"/>
    <w:rsid w:val="000A469F"/>
    <w:rsid w:val="000A5B43"/>
    <w:rsid w:val="000A5FFF"/>
    <w:rsid w:val="000A6441"/>
    <w:rsid w:val="000A702F"/>
    <w:rsid w:val="000B04AD"/>
    <w:rsid w:val="000B2048"/>
    <w:rsid w:val="000B2CF6"/>
    <w:rsid w:val="000B37F9"/>
    <w:rsid w:val="000B55CF"/>
    <w:rsid w:val="000B7481"/>
    <w:rsid w:val="000B763D"/>
    <w:rsid w:val="000C0544"/>
    <w:rsid w:val="000C0964"/>
    <w:rsid w:val="000C1CFC"/>
    <w:rsid w:val="000C521E"/>
    <w:rsid w:val="000C60F8"/>
    <w:rsid w:val="000C72C2"/>
    <w:rsid w:val="000C7967"/>
    <w:rsid w:val="000D0A06"/>
    <w:rsid w:val="000D15D8"/>
    <w:rsid w:val="000D373A"/>
    <w:rsid w:val="000D5F59"/>
    <w:rsid w:val="000D6067"/>
    <w:rsid w:val="000D625A"/>
    <w:rsid w:val="000D65F2"/>
    <w:rsid w:val="000E0070"/>
    <w:rsid w:val="000E0B35"/>
    <w:rsid w:val="000E21EE"/>
    <w:rsid w:val="000E3B4F"/>
    <w:rsid w:val="000E5264"/>
    <w:rsid w:val="000E5757"/>
    <w:rsid w:val="000E5F1C"/>
    <w:rsid w:val="000E6A18"/>
    <w:rsid w:val="000E7694"/>
    <w:rsid w:val="000F2C3F"/>
    <w:rsid w:val="000F38A2"/>
    <w:rsid w:val="000F5D50"/>
    <w:rsid w:val="000F6FCF"/>
    <w:rsid w:val="000F746B"/>
    <w:rsid w:val="000F750F"/>
    <w:rsid w:val="000F778D"/>
    <w:rsid w:val="0010177F"/>
    <w:rsid w:val="00102828"/>
    <w:rsid w:val="0010299D"/>
    <w:rsid w:val="00107F63"/>
    <w:rsid w:val="00112977"/>
    <w:rsid w:val="001137DB"/>
    <w:rsid w:val="001144E4"/>
    <w:rsid w:val="00114F92"/>
    <w:rsid w:val="001176BE"/>
    <w:rsid w:val="00117ADB"/>
    <w:rsid w:val="00121538"/>
    <w:rsid w:val="00121AEE"/>
    <w:rsid w:val="001222AA"/>
    <w:rsid w:val="00122A0C"/>
    <w:rsid w:val="001230CF"/>
    <w:rsid w:val="001252A0"/>
    <w:rsid w:val="00130B51"/>
    <w:rsid w:val="00130DA4"/>
    <w:rsid w:val="00130FF5"/>
    <w:rsid w:val="00131A7B"/>
    <w:rsid w:val="00133CE0"/>
    <w:rsid w:val="00134880"/>
    <w:rsid w:val="00134EB1"/>
    <w:rsid w:val="001401FE"/>
    <w:rsid w:val="00140D9A"/>
    <w:rsid w:val="001412E1"/>
    <w:rsid w:val="0014133C"/>
    <w:rsid w:val="0014212F"/>
    <w:rsid w:val="00143109"/>
    <w:rsid w:val="0014323C"/>
    <w:rsid w:val="00144617"/>
    <w:rsid w:val="00144B3F"/>
    <w:rsid w:val="00144F51"/>
    <w:rsid w:val="0014678A"/>
    <w:rsid w:val="001500E7"/>
    <w:rsid w:val="00151614"/>
    <w:rsid w:val="00152387"/>
    <w:rsid w:val="0015336A"/>
    <w:rsid w:val="001536D2"/>
    <w:rsid w:val="00153A3A"/>
    <w:rsid w:val="00155DCC"/>
    <w:rsid w:val="00162AA2"/>
    <w:rsid w:val="00163383"/>
    <w:rsid w:val="0016546B"/>
    <w:rsid w:val="001659E8"/>
    <w:rsid w:val="00166C79"/>
    <w:rsid w:val="0017075F"/>
    <w:rsid w:val="001722D1"/>
    <w:rsid w:val="0017361F"/>
    <w:rsid w:val="00174517"/>
    <w:rsid w:val="00174B55"/>
    <w:rsid w:val="00176C70"/>
    <w:rsid w:val="00177095"/>
    <w:rsid w:val="00181CDE"/>
    <w:rsid w:val="00182F98"/>
    <w:rsid w:val="0018329D"/>
    <w:rsid w:val="001837CB"/>
    <w:rsid w:val="00184265"/>
    <w:rsid w:val="00185030"/>
    <w:rsid w:val="0018541F"/>
    <w:rsid w:val="001877B9"/>
    <w:rsid w:val="0018782E"/>
    <w:rsid w:val="00187C8C"/>
    <w:rsid w:val="00187E07"/>
    <w:rsid w:val="00191994"/>
    <w:rsid w:val="00192D4A"/>
    <w:rsid w:val="00193191"/>
    <w:rsid w:val="001945F2"/>
    <w:rsid w:val="00194DE6"/>
    <w:rsid w:val="00195594"/>
    <w:rsid w:val="00195E24"/>
    <w:rsid w:val="00197010"/>
    <w:rsid w:val="001A1C96"/>
    <w:rsid w:val="001A1E5D"/>
    <w:rsid w:val="001A4E08"/>
    <w:rsid w:val="001A5499"/>
    <w:rsid w:val="001A587D"/>
    <w:rsid w:val="001A650B"/>
    <w:rsid w:val="001A75B1"/>
    <w:rsid w:val="001B0BDD"/>
    <w:rsid w:val="001B1A42"/>
    <w:rsid w:val="001B2844"/>
    <w:rsid w:val="001B38A7"/>
    <w:rsid w:val="001B4DAC"/>
    <w:rsid w:val="001B56A5"/>
    <w:rsid w:val="001B585E"/>
    <w:rsid w:val="001B67B7"/>
    <w:rsid w:val="001B6970"/>
    <w:rsid w:val="001C0044"/>
    <w:rsid w:val="001C1106"/>
    <w:rsid w:val="001C13A2"/>
    <w:rsid w:val="001C2AC2"/>
    <w:rsid w:val="001C3FED"/>
    <w:rsid w:val="001C4394"/>
    <w:rsid w:val="001C48D7"/>
    <w:rsid w:val="001C4C7B"/>
    <w:rsid w:val="001C6CCE"/>
    <w:rsid w:val="001C72D8"/>
    <w:rsid w:val="001C7BA0"/>
    <w:rsid w:val="001D0AB2"/>
    <w:rsid w:val="001D1658"/>
    <w:rsid w:val="001D468A"/>
    <w:rsid w:val="001D6AFD"/>
    <w:rsid w:val="001E1E26"/>
    <w:rsid w:val="001E3FAB"/>
    <w:rsid w:val="001E4143"/>
    <w:rsid w:val="001E4304"/>
    <w:rsid w:val="001E53FA"/>
    <w:rsid w:val="001E6E29"/>
    <w:rsid w:val="001F09B3"/>
    <w:rsid w:val="001F1839"/>
    <w:rsid w:val="001F4ABD"/>
    <w:rsid w:val="001F6122"/>
    <w:rsid w:val="001F76D7"/>
    <w:rsid w:val="00200853"/>
    <w:rsid w:val="0020368E"/>
    <w:rsid w:val="00204BD7"/>
    <w:rsid w:val="00207323"/>
    <w:rsid w:val="0021124E"/>
    <w:rsid w:val="00211873"/>
    <w:rsid w:val="00214E7B"/>
    <w:rsid w:val="002162B5"/>
    <w:rsid w:val="002167C7"/>
    <w:rsid w:val="00217DA2"/>
    <w:rsid w:val="00221CF4"/>
    <w:rsid w:val="00224B44"/>
    <w:rsid w:val="00224B4F"/>
    <w:rsid w:val="00224F08"/>
    <w:rsid w:val="00226B4C"/>
    <w:rsid w:val="00227FDE"/>
    <w:rsid w:val="002333FC"/>
    <w:rsid w:val="0023482F"/>
    <w:rsid w:val="002366A7"/>
    <w:rsid w:val="00237449"/>
    <w:rsid w:val="00240A4D"/>
    <w:rsid w:val="00241C27"/>
    <w:rsid w:val="002421EC"/>
    <w:rsid w:val="00242FA8"/>
    <w:rsid w:val="00243A7E"/>
    <w:rsid w:val="00247E8A"/>
    <w:rsid w:val="002504AC"/>
    <w:rsid w:val="00250556"/>
    <w:rsid w:val="00251DD3"/>
    <w:rsid w:val="0025242F"/>
    <w:rsid w:val="002525E8"/>
    <w:rsid w:val="00252C91"/>
    <w:rsid w:val="00253082"/>
    <w:rsid w:val="002546FC"/>
    <w:rsid w:val="00255B85"/>
    <w:rsid w:val="00255CF8"/>
    <w:rsid w:val="00256C36"/>
    <w:rsid w:val="002574EC"/>
    <w:rsid w:val="00257C94"/>
    <w:rsid w:val="002600B1"/>
    <w:rsid w:val="0026455C"/>
    <w:rsid w:val="0026589B"/>
    <w:rsid w:val="00266321"/>
    <w:rsid w:val="002663E9"/>
    <w:rsid w:val="00266419"/>
    <w:rsid w:val="00270AC4"/>
    <w:rsid w:val="00271409"/>
    <w:rsid w:val="00272724"/>
    <w:rsid w:val="0027426F"/>
    <w:rsid w:val="002742CE"/>
    <w:rsid w:val="00274806"/>
    <w:rsid w:val="002756DD"/>
    <w:rsid w:val="00276468"/>
    <w:rsid w:val="002764C2"/>
    <w:rsid w:val="002766EE"/>
    <w:rsid w:val="0027674B"/>
    <w:rsid w:val="00280277"/>
    <w:rsid w:val="002802E1"/>
    <w:rsid w:val="002815A8"/>
    <w:rsid w:val="00281C91"/>
    <w:rsid w:val="00282625"/>
    <w:rsid w:val="00283D66"/>
    <w:rsid w:val="002841C9"/>
    <w:rsid w:val="00284999"/>
    <w:rsid w:val="0028646C"/>
    <w:rsid w:val="00287CE2"/>
    <w:rsid w:val="002903D8"/>
    <w:rsid w:val="00292871"/>
    <w:rsid w:val="00294480"/>
    <w:rsid w:val="002949F5"/>
    <w:rsid w:val="00294BAB"/>
    <w:rsid w:val="00294CA1"/>
    <w:rsid w:val="002951FD"/>
    <w:rsid w:val="00295A01"/>
    <w:rsid w:val="00296A3F"/>
    <w:rsid w:val="0029758C"/>
    <w:rsid w:val="002A026C"/>
    <w:rsid w:val="002A0CAD"/>
    <w:rsid w:val="002A2389"/>
    <w:rsid w:val="002A32D1"/>
    <w:rsid w:val="002A4BA9"/>
    <w:rsid w:val="002A4BDE"/>
    <w:rsid w:val="002A5241"/>
    <w:rsid w:val="002A65CC"/>
    <w:rsid w:val="002B0189"/>
    <w:rsid w:val="002B0660"/>
    <w:rsid w:val="002B2437"/>
    <w:rsid w:val="002B2C96"/>
    <w:rsid w:val="002B382C"/>
    <w:rsid w:val="002B40E8"/>
    <w:rsid w:val="002B427D"/>
    <w:rsid w:val="002B5024"/>
    <w:rsid w:val="002B6471"/>
    <w:rsid w:val="002B6B82"/>
    <w:rsid w:val="002B7B2F"/>
    <w:rsid w:val="002C02AE"/>
    <w:rsid w:val="002C113E"/>
    <w:rsid w:val="002C1248"/>
    <w:rsid w:val="002C29BD"/>
    <w:rsid w:val="002C45DB"/>
    <w:rsid w:val="002C4D6C"/>
    <w:rsid w:val="002C6A11"/>
    <w:rsid w:val="002D218C"/>
    <w:rsid w:val="002D3207"/>
    <w:rsid w:val="002D689A"/>
    <w:rsid w:val="002E2771"/>
    <w:rsid w:val="002E281A"/>
    <w:rsid w:val="002E4072"/>
    <w:rsid w:val="002E4FC0"/>
    <w:rsid w:val="002E756D"/>
    <w:rsid w:val="002F127A"/>
    <w:rsid w:val="002F42D0"/>
    <w:rsid w:val="002F5CB7"/>
    <w:rsid w:val="002F7A00"/>
    <w:rsid w:val="002F7BFD"/>
    <w:rsid w:val="00300FF8"/>
    <w:rsid w:val="00302822"/>
    <w:rsid w:val="00303B57"/>
    <w:rsid w:val="0030413B"/>
    <w:rsid w:val="00305C4E"/>
    <w:rsid w:val="00307119"/>
    <w:rsid w:val="0030769A"/>
    <w:rsid w:val="00307822"/>
    <w:rsid w:val="00310CD0"/>
    <w:rsid w:val="003132E4"/>
    <w:rsid w:val="0031526C"/>
    <w:rsid w:val="003165B6"/>
    <w:rsid w:val="003168E7"/>
    <w:rsid w:val="00317C62"/>
    <w:rsid w:val="00321E62"/>
    <w:rsid w:val="003220AD"/>
    <w:rsid w:val="003227FD"/>
    <w:rsid w:val="00323267"/>
    <w:rsid w:val="00323830"/>
    <w:rsid w:val="00323D36"/>
    <w:rsid w:val="00323FBB"/>
    <w:rsid w:val="00324BA6"/>
    <w:rsid w:val="003250E6"/>
    <w:rsid w:val="00326ED6"/>
    <w:rsid w:val="0033116F"/>
    <w:rsid w:val="00331740"/>
    <w:rsid w:val="00331A4E"/>
    <w:rsid w:val="00334ED8"/>
    <w:rsid w:val="00336EFF"/>
    <w:rsid w:val="00337129"/>
    <w:rsid w:val="003402BB"/>
    <w:rsid w:val="00340C80"/>
    <w:rsid w:val="0034264B"/>
    <w:rsid w:val="00343E7E"/>
    <w:rsid w:val="00345BF3"/>
    <w:rsid w:val="00345CD6"/>
    <w:rsid w:val="00346B8F"/>
    <w:rsid w:val="00350049"/>
    <w:rsid w:val="00350D81"/>
    <w:rsid w:val="0035385C"/>
    <w:rsid w:val="00354A0B"/>
    <w:rsid w:val="00355505"/>
    <w:rsid w:val="00356A06"/>
    <w:rsid w:val="00356B26"/>
    <w:rsid w:val="00357298"/>
    <w:rsid w:val="00361837"/>
    <w:rsid w:val="00362A83"/>
    <w:rsid w:val="00363361"/>
    <w:rsid w:val="00365B99"/>
    <w:rsid w:val="00365DC1"/>
    <w:rsid w:val="0036741E"/>
    <w:rsid w:val="00370F4C"/>
    <w:rsid w:val="00371353"/>
    <w:rsid w:val="00371518"/>
    <w:rsid w:val="003725DD"/>
    <w:rsid w:val="00374742"/>
    <w:rsid w:val="003749DB"/>
    <w:rsid w:val="00380B73"/>
    <w:rsid w:val="00380BFA"/>
    <w:rsid w:val="00381155"/>
    <w:rsid w:val="0038334C"/>
    <w:rsid w:val="003837EF"/>
    <w:rsid w:val="003838F4"/>
    <w:rsid w:val="00385EA4"/>
    <w:rsid w:val="00390735"/>
    <w:rsid w:val="0039255B"/>
    <w:rsid w:val="00392DFF"/>
    <w:rsid w:val="00394A4D"/>
    <w:rsid w:val="00395368"/>
    <w:rsid w:val="0039540C"/>
    <w:rsid w:val="003968DD"/>
    <w:rsid w:val="00396E82"/>
    <w:rsid w:val="00396FCA"/>
    <w:rsid w:val="003978C8"/>
    <w:rsid w:val="003A0584"/>
    <w:rsid w:val="003A196A"/>
    <w:rsid w:val="003A2DD8"/>
    <w:rsid w:val="003A3963"/>
    <w:rsid w:val="003A55F6"/>
    <w:rsid w:val="003A64FD"/>
    <w:rsid w:val="003A6737"/>
    <w:rsid w:val="003B001D"/>
    <w:rsid w:val="003B10C1"/>
    <w:rsid w:val="003B1277"/>
    <w:rsid w:val="003B19AD"/>
    <w:rsid w:val="003B19E3"/>
    <w:rsid w:val="003B1B5C"/>
    <w:rsid w:val="003B5074"/>
    <w:rsid w:val="003B50B9"/>
    <w:rsid w:val="003B59D5"/>
    <w:rsid w:val="003B6AF7"/>
    <w:rsid w:val="003B7DC4"/>
    <w:rsid w:val="003C2266"/>
    <w:rsid w:val="003C2DA5"/>
    <w:rsid w:val="003C3D26"/>
    <w:rsid w:val="003C60A8"/>
    <w:rsid w:val="003C659A"/>
    <w:rsid w:val="003D0DEC"/>
    <w:rsid w:val="003D12B3"/>
    <w:rsid w:val="003D215D"/>
    <w:rsid w:val="003D3525"/>
    <w:rsid w:val="003D3EB9"/>
    <w:rsid w:val="003D6196"/>
    <w:rsid w:val="003D703D"/>
    <w:rsid w:val="003E0CAC"/>
    <w:rsid w:val="003E208E"/>
    <w:rsid w:val="003E2547"/>
    <w:rsid w:val="003E43EA"/>
    <w:rsid w:val="003E57C3"/>
    <w:rsid w:val="003F2C37"/>
    <w:rsid w:val="003F4F2E"/>
    <w:rsid w:val="003F5041"/>
    <w:rsid w:val="003F5152"/>
    <w:rsid w:val="003F57D1"/>
    <w:rsid w:val="003F5A5E"/>
    <w:rsid w:val="003F74A7"/>
    <w:rsid w:val="004017B0"/>
    <w:rsid w:val="00401E67"/>
    <w:rsid w:val="004027F6"/>
    <w:rsid w:val="00402B1E"/>
    <w:rsid w:val="00403938"/>
    <w:rsid w:val="004048D8"/>
    <w:rsid w:val="00404FFF"/>
    <w:rsid w:val="004073E3"/>
    <w:rsid w:val="004106B0"/>
    <w:rsid w:val="0041224B"/>
    <w:rsid w:val="00412284"/>
    <w:rsid w:val="0041236D"/>
    <w:rsid w:val="00412AF5"/>
    <w:rsid w:val="00413709"/>
    <w:rsid w:val="00415338"/>
    <w:rsid w:val="00415884"/>
    <w:rsid w:val="004168B6"/>
    <w:rsid w:val="00417916"/>
    <w:rsid w:val="00417988"/>
    <w:rsid w:val="0042211A"/>
    <w:rsid w:val="00423AB1"/>
    <w:rsid w:val="00423ACC"/>
    <w:rsid w:val="00423EDD"/>
    <w:rsid w:val="004247B6"/>
    <w:rsid w:val="00424FCB"/>
    <w:rsid w:val="00427438"/>
    <w:rsid w:val="0043035E"/>
    <w:rsid w:val="00430614"/>
    <w:rsid w:val="00430F43"/>
    <w:rsid w:val="00434444"/>
    <w:rsid w:val="00435C4F"/>
    <w:rsid w:val="00436CB8"/>
    <w:rsid w:val="0044094E"/>
    <w:rsid w:val="00440F18"/>
    <w:rsid w:val="004421C7"/>
    <w:rsid w:val="00442E64"/>
    <w:rsid w:val="004434AB"/>
    <w:rsid w:val="004435FA"/>
    <w:rsid w:val="00443E1D"/>
    <w:rsid w:val="00445D61"/>
    <w:rsid w:val="00446981"/>
    <w:rsid w:val="0044732A"/>
    <w:rsid w:val="004504C0"/>
    <w:rsid w:val="00450DDB"/>
    <w:rsid w:val="0045166E"/>
    <w:rsid w:val="00452709"/>
    <w:rsid w:val="00453026"/>
    <w:rsid w:val="004539AA"/>
    <w:rsid w:val="004602F9"/>
    <w:rsid w:val="0046127B"/>
    <w:rsid w:val="0046262B"/>
    <w:rsid w:val="004631AF"/>
    <w:rsid w:val="004647B1"/>
    <w:rsid w:val="00464E6A"/>
    <w:rsid w:val="00465771"/>
    <w:rsid w:val="00466F33"/>
    <w:rsid w:val="0047134E"/>
    <w:rsid w:val="0047174C"/>
    <w:rsid w:val="00474FD9"/>
    <w:rsid w:val="004750CE"/>
    <w:rsid w:val="00475CC6"/>
    <w:rsid w:val="00475F86"/>
    <w:rsid w:val="0047776E"/>
    <w:rsid w:val="00477A58"/>
    <w:rsid w:val="00480089"/>
    <w:rsid w:val="00480434"/>
    <w:rsid w:val="00480F88"/>
    <w:rsid w:val="004818DD"/>
    <w:rsid w:val="0048228E"/>
    <w:rsid w:val="00483478"/>
    <w:rsid w:val="00483537"/>
    <w:rsid w:val="0048440B"/>
    <w:rsid w:val="00484ECC"/>
    <w:rsid w:val="004860B6"/>
    <w:rsid w:val="00486670"/>
    <w:rsid w:val="0048673A"/>
    <w:rsid w:val="00486752"/>
    <w:rsid w:val="004867A9"/>
    <w:rsid w:val="0049135C"/>
    <w:rsid w:val="00493CBE"/>
    <w:rsid w:val="00495310"/>
    <w:rsid w:val="00495897"/>
    <w:rsid w:val="004A24B9"/>
    <w:rsid w:val="004A3FC1"/>
    <w:rsid w:val="004A4357"/>
    <w:rsid w:val="004A455B"/>
    <w:rsid w:val="004A4689"/>
    <w:rsid w:val="004A46AA"/>
    <w:rsid w:val="004A704B"/>
    <w:rsid w:val="004B0EAE"/>
    <w:rsid w:val="004B150E"/>
    <w:rsid w:val="004B1810"/>
    <w:rsid w:val="004B43A3"/>
    <w:rsid w:val="004B5D26"/>
    <w:rsid w:val="004B64C0"/>
    <w:rsid w:val="004B67FF"/>
    <w:rsid w:val="004B77FC"/>
    <w:rsid w:val="004C0A26"/>
    <w:rsid w:val="004C3658"/>
    <w:rsid w:val="004C5140"/>
    <w:rsid w:val="004C7805"/>
    <w:rsid w:val="004C7E5D"/>
    <w:rsid w:val="004D306A"/>
    <w:rsid w:val="004D3812"/>
    <w:rsid w:val="004D6CD5"/>
    <w:rsid w:val="004D720F"/>
    <w:rsid w:val="004E1BF6"/>
    <w:rsid w:val="004E4A98"/>
    <w:rsid w:val="004E557E"/>
    <w:rsid w:val="004E5713"/>
    <w:rsid w:val="004E6D5D"/>
    <w:rsid w:val="004E7351"/>
    <w:rsid w:val="004F1235"/>
    <w:rsid w:val="004F1D2B"/>
    <w:rsid w:val="004F26D4"/>
    <w:rsid w:val="004F5DA9"/>
    <w:rsid w:val="004F5F5B"/>
    <w:rsid w:val="005002E1"/>
    <w:rsid w:val="00502633"/>
    <w:rsid w:val="00503E8D"/>
    <w:rsid w:val="00504302"/>
    <w:rsid w:val="00505472"/>
    <w:rsid w:val="00505AFD"/>
    <w:rsid w:val="00505CA1"/>
    <w:rsid w:val="00505F55"/>
    <w:rsid w:val="00507518"/>
    <w:rsid w:val="005077F7"/>
    <w:rsid w:val="00512861"/>
    <w:rsid w:val="00512EB3"/>
    <w:rsid w:val="00513D94"/>
    <w:rsid w:val="00515B96"/>
    <w:rsid w:val="00522C32"/>
    <w:rsid w:val="00524183"/>
    <w:rsid w:val="0052437D"/>
    <w:rsid w:val="00526B71"/>
    <w:rsid w:val="0052727C"/>
    <w:rsid w:val="0053060D"/>
    <w:rsid w:val="005312C4"/>
    <w:rsid w:val="00532155"/>
    <w:rsid w:val="00533932"/>
    <w:rsid w:val="00535249"/>
    <w:rsid w:val="005357B0"/>
    <w:rsid w:val="00536336"/>
    <w:rsid w:val="00536354"/>
    <w:rsid w:val="00536F3C"/>
    <w:rsid w:val="00540E1C"/>
    <w:rsid w:val="00540E8B"/>
    <w:rsid w:val="00540EF2"/>
    <w:rsid w:val="00541BAB"/>
    <w:rsid w:val="00543DD0"/>
    <w:rsid w:val="00544676"/>
    <w:rsid w:val="00544EC5"/>
    <w:rsid w:val="00546A46"/>
    <w:rsid w:val="00547D18"/>
    <w:rsid w:val="005502D0"/>
    <w:rsid w:val="00555214"/>
    <w:rsid w:val="005552E7"/>
    <w:rsid w:val="0055785A"/>
    <w:rsid w:val="00557D25"/>
    <w:rsid w:val="00560F75"/>
    <w:rsid w:val="00561DA7"/>
    <w:rsid w:val="005642AD"/>
    <w:rsid w:val="00564EC9"/>
    <w:rsid w:val="00565991"/>
    <w:rsid w:val="00570164"/>
    <w:rsid w:val="0057017A"/>
    <w:rsid w:val="005751E4"/>
    <w:rsid w:val="00580C1C"/>
    <w:rsid w:val="00581822"/>
    <w:rsid w:val="005833F3"/>
    <w:rsid w:val="00584017"/>
    <w:rsid w:val="00584F3A"/>
    <w:rsid w:val="00584F92"/>
    <w:rsid w:val="00584FD3"/>
    <w:rsid w:val="00585A26"/>
    <w:rsid w:val="00590957"/>
    <w:rsid w:val="00590D85"/>
    <w:rsid w:val="00590E96"/>
    <w:rsid w:val="005928B7"/>
    <w:rsid w:val="00592BCD"/>
    <w:rsid w:val="0059435C"/>
    <w:rsid w:val="00595081"/>
    <w:rsid w:val="00595740"/>
    <w:rsid w:val="00597014"/>
    <w:rsid w:val="005A019D"/>
    <w:rsid w:val="005A0746"/>
    <w:rsid w:val="005A0E64"/>
    <w:rsid w:val="005A227E"/>
    <w:rsid w:val="005A34F1"/>
    <w:rsid w:val="005A6835"/>
    <w:rsid w:val="005A7B3B"/>
    <w:rsid w:val="005B0C8A"/>
    <w:rsid w:val="005B150F"/>
    <w:rsid w:val="005B1648"/>
    <w:rsid w:val="005B1E6C"/>
    <w:rsid w:val="005B2A1C"/>
    <w:rsid w:val="005B4052"/>
    <w:rsid w:val="005B4080"/>
    <w:rsid w:val="005B4E04"/>
    <w:rsid w:val="005B52A7"/>
    <w:rsid w:val="005B5C4D"/>
    <w:rsid w:val="005B68A2"/>
    <w:rsid w:val="005C1750"/>
    <w:rsid w:val="005C4368"/>
    <w:rsid w:val="005D061D"/>
    <w:rsid w:val="005D0C8E"/>
    <w:rsid w:val="005D1E8D"/>
    <w:rsid w:val="005D20F5"/>
    <w:rsid w:val="005D2A90"/>
    <w:rsid w:val="005D35FE"/>
    <w:rsid w:val="005D4B24"/>
    <w:rsid w:val="005D5109"/>
    <w:rsid w:val="005D582A"/>
    <w:rsid w:val="005D5EF4"/>
    <w:rsid w:val="005D6167"/>
    <w:rsid w:val="005D74F8"/>
    <w:rsid w:val="005E007E"/>
    <w:rsid w:val="005E05C9"/>
    <w:rsid w:val="005E1BAA"/>
    <w:rsid w:val="005E334E"/>
    <w:rsid w:val="005E346E"/>
    <w:rsid w:val="005E469F"/>
    <w:rsid w:val="005E5389"/>
    <w:rsid w:val="005E5D9D"/>
    <w:rsid w:val="005E7943"/>
    <w:rsid w:val="005F1AF9"/>
    <w:rsid w:val="005F2A7C"/>
    <w:rsid w:val="005F2B0A"/>
    <w:rsid w:val="005F318A"/>
    <w:rsid w:val="005F6EB3"/>
    <w:rsid w:val="0060004C"/>
    <w:rsid w:val="00603CC7"/>
    <w:rsid w:val="00603DB3"/>
    <w:rsid w:val="00603E1F"/>
    <w:rsid w:val="00605BD8"/>
    <w:rsid w:val="00605C47"/>
    <w:rsid w:val="006061A2"/>
    <w:rsid w:val="0061259C"/>
    <w:rsid w:val="00613DAA"/>
    <w:rsid w:val="00614FD8"/>
    <w:rsid w:val="006159A8"/>
    <w:rsid w:val="00616D7E"/>
    <w:rsid w:val="00616DBF"/>
    <w:rsid w:val="0061794A"/>
    <w:rsid w:val="00620C61"/>
    <w:rsid w:val="0062162D"/>
    <w:rsid w:val="00621F7E"/>
    <w:rsid w:val="00622338"/>
    <w:rsid w:val="006230E3"/>
    <w:rsid w:val="0062396C"/>
    <w:rsid w:val="0062431A"/>
    <w:rsid w:val="006251D1"/>
    <w:rsid w:val="006272F6"/>
    <w:rsid w:val="0062748E"/>
    <w:rsid w:val="00627E18"/>
    <w:rsid w:val="006302EB"/>
    <w:rsid w:val="0063180B"/>
    <w:rsid w:val="006320EA"/>
    <w:rsid w:val="006329AF"/>
    <w:rsid w:val="00635D16"/>
    <w:rsid w:val="0063629A"/>
    <w:rsid w:val="006370FF"/>
    <w:rsid w:val="00637A96"/>
    <w:rsid w:val="00637B52"/>
    <w:rsid w:val="00640BF8"/>
    <w:rsid w:val="00640EA3"/>
    <w:rsid w:val="00641513"/>
    <w:rsid w:val="0064196D"/>
    <w:rsid w:val="00642111"/>
    <w:rsid w:val="00642DFD"/>
    <w:rsid w:val="0064491D"/>
    <w:rsid w:val="00645162"/>
    <w:rsid w:val="0064542F"/>
    <w:rsid w:val="006468B1"/>
    <w:rsid w:val="0064755B"/>
    <w:rsid w:val="00655BF5"/>
    <w:rsid w:val="00657335"/>
    <w:rsid w:val="00657646"/>
    <w:rsid w:val="0065785D"/>
    <w:rsid w:val="00662B5E"/>
    <w:rsid w:val="00664D00"/>
    <w:rsid w:val="00664E9A"/>
    <w:rsid w:val="006651C1"/>
    <w:rsid w:val="00666008"/>
    <w:rsid w:val="00666527"/>
    <w:rsid w:val="006668FD"/>
    <w:rsid w:val="00667001"/>
    <w:rsid w:val="006674CF"/>
    <w:rsid w:val="00672E4C"/>
    <w:rsid w:val="00675D25"/>
    <w:rsid w:val="006767CA"/>
    <w:rsid w:val="006769D8"/>
    <w:rsid w:val="00676FE1"/>
    <w:rsid w:val="00680707"/>
    <w:rsid w:val="00681CD0"/>
    <w:rsid w:val="00682D70"/>
    <w:rsid w:val="0068360B"/>
    <w:rsid w:val="00683D33"/>
    <w:rsid w:val="006842AE"/>
    <w:rsid w:val="00685ED9"/>
    <w:rsid w:val="006865BD"/>
    <w:rsid w:val="006870AD"/>
    <w:rsid w:val="006915B6"/>
    <w:rsid w:val="00691702"/>
    <w:rsid w:val="00692B35"/>
    <w:rsid w:val="006930C8"/>
    <w:rsid w:val="006943AF"/>
    <w:rsid w:val="0069477B"/>
    <w:rsid w:val="006A11D8"/>
    <w:rsid w:val="006A15ED"/>
    <w:rsid w:val="006A2191"/>
    <w:rsid w:val="006A4280"/>
    <w:rsid w:val="006A5CB4"/>
    <w:rsid w:val="006A6602"/>
    <w:rsid w:val="006A739B"/>
    <w:rsid w:val="006A7542"/>
    <w:rsid w:val="006B0D51"/>
    <w:rsid w:val="006B0F95"/>
    <w:rsid w:val="006B26C4"/>
    <w:rsid w:val="006B2C81"/>
    <w:rsid w:val="006B3224"/>
    <w:rsid w:val="006B631C"/>
    <w:rsid w:val="006B744C"/>
    <w:rsid w:val="006C2CF0"/>
    <w:rsid w:val="006C44E6"/>
    <w:rsid w:val="006C5388"/>
    <w:rsid w:val="006C5A1F"/>
    <w:rsid w:val="006D49CE"/>
    <w:rsid w:val="006D5094"/>
    <w:rsid w:val="006D7160"/>
    <w:rsid w:val="006D7805"/>
    <w:rsid w:val="006E02E8"/>
    <w:rsid w:val="006E03DE"/>
    <w:rsid w:val="006E1B56"/>
    <w:rsid w:val="006E34CB"/>
    <w:rsid w:val="006E3772"/>
    <w:rsid w:val="006E379E"/>
    <w:rsid w:val="006E37A9"/>
    <w:rsid w:val="006E393E"/>
    <w:rsid w:val="006E4447"/>
    <w:rsid w:val="006E469E"/>
    <w:rsid w:val="006E5351"/>
    <w:rsid w:val="006E7153"/>
    <w:rsid w:val="006E7D4E"/>
    <w:rsid w:val="006F236B"/>
    <w:rsid w:val="006F257A"/>
    <w:rsid w:val="006F2E2A"/>
    <w:rsid w:val="006F4FA1"/>
    <w:rsid w:val="006F6BF8"/>
    <w:rsid w:val="007046DC"/>
    <w:rsid w:val="00705086"/>
    <w:rsid w:val="00706026"/>
    <w:rsid w:val="007064B3"/>
    <w:rsid w:val="007066DD"/>
    <w:rsid w:val="007115AC"/>
    <w:rsid w:val="00711BC4"/>
    <w:rsid w:val="00712499"/>
    <w:rsid w:val="00713BCF"/>
    <w:rsid w:val="00716903"/>
    <w:rsid w:val="00716AEB"/>
    <w:rsid w:val="00720A77"/>
    <w:rsid w:val="007212A1"/>
    <w:rsid w:val="00721BAA"/>
    <w:rsid w:val="00721FD2"/>
    <w:rsid w:val="00722680"/>
    <w:rsid w:val="00725C92"/>
    <w:rsid w:val="00726A23"/>
    <w:rsid w:val="00726A80"/>
    <w:rsid w:val="007272AA"/>
    <w:rsid w:val="00727475"/>
    <w:rsid w:val="007322B4"/>
    <w:rsid w:val="00733665"/>
    <w:rsid w:val="00734FCF"/>
    <w:rsid w:val="00736025"/>
    <w:rsid w:val="00736B55"/>
    <w:rsid w:val="00741459"/>
    <w:rsid w:val="00742910"/>
    <w:rsid w:val="00742E05"/>
    <w:rsid w:val="007435FD"/>
    <w:rsid w:val="00750038"/>
    <w:rsid w:val="00750FC5"/>
    <w:rsid w:val="0075136E"/>
    <w:rsid w:val="0075205E"/>
    <w:rsid w:val="00752860"/>
    <w:rsid w:val="007538B6"/>
    <w:rsid w:val="0075509F"/>
    <w:rsid w:val="00755AD0"/>
    <w:rsid w:val="00755CA3"/>
    <w:rsid w:val="00756B07"/>
    <w:rsid w:val="00757378"/>
    <w:rsid w:val="00757B83"/>
    <w:rsid w:val="00761441"/>
    <w:rsid w:val="0076397A"/>
    <w:rsid w:val="0076476B"/>
    <w:rsid w:val="0076650F"/>
    <w:rsid w:val="00767784"/>
    <w:rsid w:val="00767B8F"/>
    <w:rsid w:val="007721F3"/>
    <w:rsid w:val="0077498F"/>
    <w:rsid w:val="007761AF"/>
    <w:rsid w:val="00777029"/>
    <w:rsid w:val="00777567"/>
    <w:rsid w:val="00777F6C"/>
    <w:rsid w:val="0078137D"/>
    <w:rsid w:val="0078167F"/>
    <w:rsid w:val="00783740"/>
    <w:rsid w:val="00787598"/>
    <w:rsid w:val="00787DDB"/>
    <w:rsid w:val="0079069E"/>
    <w:rsid w:val="007906DF"/>
    <w:rsid w:val="00791D6B"/>
    <w:rsid w:val="00792212"/>
    <w:rsid w:val="007931B4"/>
    <w:rsid w:val="00795D37"/>
    <w:rsid w:val="00797741"/>
    <w:rsid w:val="00797B35"/>
    <w:rsid w:val="007A0B64"/>
    <w:rsid w:val="007A279D"/>
    <w:rsid w:val="007A38CE"/>
    <w:rsid w:val="007A52BE"/>
    <w:rsid w:val="007A5639"/>
    <w:rsid w:val="007A575A"/>
    <w:rsid w:val="007A6A08"/>
    <w:rsid w:val="007B1195"/>
    <w:rsid w:val="007B47E4"/>
    <w:rsid w:val="007B482B"/>
    <w:rsid w:val="007B727C"/>
    <w:rsid w:val="007B747A"/>
    <w:rsid w:val="007C0D98"/>
    <w:rsid w:val="007C18D7"/>
    <w:rsid w:val="007C266B"/>
    <w:rsid w:val="007C33C0"/>
    <w:rsid w:val="007D31FB"/>
    <w:rsid w:val="007D471D"/>
    <w:rsid w:val="007D521A"/>
    <w:rsid w:val="007D6040"/>
    <w:rsid w:val="007D6F4E"/>
    <w:rsid w:val="007E0F2A"/>
    <w:rsid w:val="007E3258"/>
    <w:rsid w:val="007E5C03"/>
    <w:rsid w:val="007E5D62"/>
    <w:rsid w:val="007E64C7"/>
    <w:rsid w:val="007E6ACF"/>
    <w:rsid w:val="007E6EBF"/>
    <w:rsid w:val="007F039F"/>
    <w:rsid w:val="007F0963"/>
    <w:rsid w:val="007F0F9D"/>
    <w:rsid w:val="007F15A7"/>
    <w:rsid w:val="007F27C0"/>
    <w:rsid w:val="007F5BA9"/>
    <w:rsid w:val="007F7D89"/>
    <w:rsid w:val="00800241"/>
    <w:rsid w:val="00800E2B"/>
    <w:rsid w:val="0080183D"/>
    <w:rsid w:val="008018CD"/>
    <w:rsid w:val="008019AC"/>
    <w:rsid w:val="008024E7"/>
    <w:rsid w:val="00802ED5"/>
    <w:rsid w:val="00803182"/>
    <w:rsid w:val="00805B3A"/>
    <w:rsid w:val="00807440"/>
    <w:rsid w:val="00812346"/>
    <w:rsid w:val="00812F0A"/>
    <w:rsid w:val="00812FD5"/>
    <w:rsid w:val="00813059"/>
    <w:rsid w:val="00814490"/>
    <w:rsid w:val="00815413"/>
    <w:rsid w:val="00815BBC"/>
    <w:rsid w:val="00816BF9"/>
    <w:rsid w:val="0082039B"/>
    <w:rsid w:val="008219F0"/>
    <w:rsid w:val="0082247D"/>
    <w:rsid w:val="008240CD"/>
    <w:rsid w:val="008247D5"/>
    <w:rsid w:val="00825109"/>
    <w:rsid w:val="00826444"/>
    <w:rsid w:val="00826C7D"/>
    <w:rsid w:val="00826CC0"/>
    <w:rsid w:val="00827A0C"/>
    <w:rsid w:val="0083074C"/>
    <w:rsid w:val="00834002"/>
    <w:rsid w:val="00834886"/>
    <w:rsid w:val="00834C16"/>
    <w:rsid w:val="008356D3"/>
    <w:rsid w:val="008362DB"/>
    <w:rsid w:val="0083633B"/>
    <w:rsid w:val="00840AB3"/>
    <w:rsid w:val="008410DB"/>
    <w:rsid w:val="00841968"/>
    <w:rsid w:val="00841E85"/>
    <w:rsid w:val="00842426"/>
    <w:rsid w:val="00844405"/>
    <w:rsid w:val="00844823"/>
    <w:rsid w:val="00846D11"/>
    <w:rsid w:val="008476DF"/>
    <w:rsid w:val="0085024B"/>
    <w:rsid w:val="00850B87"/>
    <w:rsid w:val="008545B0"/>
    <w:rsid w:val="00854713"/>
    <w:rsid w:val="00856B8F"/>
    <w:rsid w:val="0085788A"/>
    <w:rsid w:val="00861936"/>
    <w:rsid w:val="00861CFB"/>
    <w:rsid w:val="00862AB1"/>
    <w:rsid w:val="00864676"/>
    <w:rsid w:val="00865152"/>
    <w:rsid w:val="008668A3"/>
    <w:rsid w:val="00866F48"/>
    <w:rsid w:val="0087160F"/>
    <w:rsid w:val="0087175B"/>
    <w:rsid w:val="00871DDD"/>
    <w:rsid w:val="00871E87"/>
    <w:rsid w:val="0087288B"/>
    <w:rsid w:val="008746AF"/>
    <w:rsid w:val="0087520C"/>
    <w:rsid w:val="00875E11"/>
    <w:rsid w:val="00876A31"/>
    <w:rsid w:val="00880F88"/>
    <w:rsid w:val="00881CEC"/>
    <w:rsid w:val="008820AC"/>
    <w:rsid w:val="00882D04"/>
    <w:rsid w:val="00884A12"/>
    <w:rsid w:val="00885506"/>
    <w:rsid w:val="00885537"/>
    <w:rsid w:val="0088654A"/>
    <w:rsid w:val="00886A91"/>
    <w:rsid w:val="00887150"/>
    <w:rsid w:val="00887343"/>
    <w:rsid w:val="00887D53"/>
    <w:rsid w:val="00891EC7"/>
    <w:rsid w:val="00892327"/>
    <w:rsid w:val="00893A1D"/>
    <w:rsid w:val="00894CC3"/>
    <w:rsid w:val="00897B12"/>
    <w:rsid w:val="008A2AF8"/>
    <w:rsid w:val="008A331D"/>
    <w:rsid w:val="008A51D3"/>
    <w:rsid w:val="008A7073"/>
    <w:rsid w:val="008A716A"/>
    <w:rsid w:val="008A7DBA"/>
    <w:rsid w:val="008B146B"/>
    <w:rsid w:val="008B20F2"/>
    <w:rsid w:val="008B3B6B"/>
    <w:rsid w:val="008B56F9"/>
    <w:rsid w:val="008C0775"/>
    <w:rsid w:val="008C07C7"/>
    <w:rsid w:val="008C1239"/>
    <w:rsid w:val="008C1240"/>
    <w:rsid w:val="008C237E"/>
    <w:rsid w:val="008C2B8E"/>
    <w:rsid w:val="008C3010"/>
    <w:rsid w:val="008C3AA5"/>
    <w:rsid w:val="008C5724"/>
    <w:rsid w:val="008C5E8A"/>
    <w:rsid w:val="008D0359"/>
    <w:rsid w:val="008D0800"/>
    <w:rsid w:val="008D41DF"/>
    <w:rsid w:val="008D4737"/>
    <w:rsid w:val="008D49BC"/>
    <w:rsid w:val="008D4AE9"/>
    <w:rsid w:val="008D5CA7"/>
    <w:rsid w:val="008D5D71"/>
    <w:rsid w:val="008D5FFA"/>
    <w:rsid w:val="008D6039"/>
    <w:rsid w:val="008D65B1"/>
    <w:rsid w:val="008D6853"/>
    <w:rsid w:val="008D7166"/>
    <w:rsid w:val="008E0EDD"/>
    <w:rsid w:val="008E22AA"/>
    <w:rsid w:val="008E27BE"/>
    <w:rsid w:val="008E2B33"/>
    <w:rsid w:val="008E44E4"/>
    <w:rsid w:val="008E4FCB"/>
    <w:rsid w:val="008E67D5"/>
    <w:rsid w:val="008E79C1"/>
    <w:rsid w:val="008F2025"/>
    <w:rsid w:val="008F34A6"/>
    <w:rsid w:val="008F46ED"/>
    <w:rsid w:val="008F5429"/>
    <w:rsid w:val="008F595B"/>
    <w:rsid w:val="008F5CC5"/>
    <w:rsid w:val="008F60EE"/>
    <w:rsid w:val="008F73C5"/>
    <w:rsid w:val="009000B6"/>
    <w:rsid w:val="009002F2"/>
    <w:rsid w:val="00901484"/>
    <w:rsid w:val="00901754"/>
    <w:rsid w:val="0090434E"/>
    <w:rsid w:val="009056DF"/>
    <w:rsid w:val="009064A9"/>
    <w:rsid w:val="00907092"/>
    <w:rsid w:val="00907F0B"/>
    <w:rsid w:val="00912D2E"/>
    <w:rsid w:val="00913C45"/>
    <w:rsid w:val="0091529C"/>
    <w:rsid w:val="00922393"/>
    <w:rsid w:val="00923A31"/>
    <w:rsid w:val="00923CF5"/>
    <w:rsid w:val="00933690"/>
    <w:rsid w:val="00933EE2"/>
    <w:rsid w:val="00934F02"/>
    <w:rsid w:val="0093504D"/>
    <w:rsid w:val="00935FF0"/>
    <w:rsid w:val="00937E10"/>
    <w:rsid w:val="00940468"/>
    <w:rsid w:val="00941F18"/>
    <w:rsid w:val="00942759"/>
    <w:rsid w:val="00943D49"/>
    <w:rsid w:val="00944E3C"/>
    <w:rsid w:val="00945999"/>
    <w:rsid w:val="0094696B"/>
    <w:rsid w:val="00947A1A"/>
    <w:rsid w:val="00947FE4"/>
    <w:rsid w:val="00953BED"/>
    <w:rsid w:val="00954399"/>
    <w:rsid w:val="00954E8F"/>
    <w:rsid w:val="0095634B"/>
    <w:rsid w:val="0095708D"/>
    <w:rsid w:val="00961EB9"/>
    <w:rsid w:val="00963947"/>
    <w:rsid w:val="00963F1B"/>
    <w:rsid w:val="009646B9"/>
    <w:rsid w:val="0096671B"/>
    <w:rsid w:val="00967095"/>
    <w:rsid w:val="009676F0"/>
    <w:rsid w:val="00970682"/>
    <w:rsid w:val="00970FC5"/>
    <w:rsid w:val="00972BC8"/>
    <w:rsid w:val="00973CF7"/>
    <w:rsid w:val="009753C6"/>
    <w:rsid w:val="009765AA"/>
    <w:rsid w:val="00976ADE"/>
    <w:rsid w:val="009824E1"/>
    <w:rsid w:val="00982E9E"/>
    <w:rsid w:val="00986984"/>
    <w:rsid w:val="00986BFC"/>
    <w:rsid w:val="00986DF9"/>
    <w:rsid w:val="009904A4"/>
    <w:rsid w:val="00993FAA"/>
    <w:rsid w:val="0099419D"/>
    <w:rsid w:val="00994F79"/>
    <w:rsid w:val="00995660"/>
    <w:rsid w:val="0099596F"/>
    <w:rsid w:val="0099731C"/>
    <w:rsid w:val="009A397F"/>
    <w:rsid w:val="009A3B1B"/>
    <w:rsid w:val="009A4CFB"/>
    <w:rsid w:val="009A6189"/>
    <w:rsid w:val="009A707A"/>
    <w:rsid w:val="009A744E"/>
    <w:rsid w:val="009A7AF1"/>
    <w:rsid w:val="009B04B3"/>
    <w:rsid w:val="009B149D"/>
    <w:rsid w:val="009B1EF7"/>
    <w:rsid w:val="009B2067"/>
    <w:rsid w:val="009B2B22"/>
    <w:rsid w:val="009B35A8"/>
    <w:rsid w:val="009B43C8"/>
    <w:rsid w:val="009B57FC"/>
    <w:rsid w:val="009B703E"/>
    <w:rsid w:val="009C01A1"/>
    <w:rsid w:val="009C16F6"/>
    <w:rsid w:val="009C43CE"/>
    <w:rsid w:val="009C5060"/>
    <w:rsid w:val="009C548D"/>
    <w:rsid w:val="009C5974"/>
    <w:rsid w:val="009C5B40"/>
    <w:rsid w:val="009D1153"/>
    <w:rsid w:val="009D6130"/>
    <w:rsid w:val="009D660D"/>
    <w:rsid w:val="009E09D8"/>
    <w:rsid w:val="009E1E16"/>
    <w:rsid w:val="009E219F"/>
    <w:rsid w:val="009E2CDA"/>
    <w:rsid w:val="009E681D"/>
    <w:rsid w:val="009E79F8"/>
    <w:rsid w:val="009F08D7"/>
    <w:rsid w:val="009F0D7D"/>
    <w:rsid w:val="009F3E1C"/>
    <w:rsid w:val="009F680A"/>
    <w:rsid w:val="009F741B"/>
    <w:rsid w:val="009F74EE"/>
    <w:rsid w:val="009F7E35"/>
    <w:rsid w:val="00A01010"/>
    <w:rsid w:val="00A02382"/>
    <w:rsid w:val="00A03A77"/>
    <w:rsid w:val="00A0515E"/>
    <w:rsid w:val="00A0516C"/>
    <w:rsid w:val="00A06230"/>
    <w:rsid w:val="00A07228"/>
    <w:rsid w:val="00A11169"/>
    <w:rsid w:val="00A12879"/>
    <w:rsid w:val="00A128F0"/>
    <w:rsid w:val="00A13A44"/>
    <w:rsid w:val="00A14624"/>
    <w:rsid w:val="00A16950"/>
    <w:rsid w:val="00A169FA"/>
    <w:rsid w:val="00A16AB9"/>
    <w:rsid w:val="00A2067A"/>
    <w:rsid w:val="00A21AEE"/>
    <w:rsid w:val="00A21C9C"/>
    <w:rsid w:val="00A22DBC"/>
    <w:rsid w:val="00A25AB3"/>
    <w:rsid w:val="00A27586"/>
    <w:rsid w:val="00A3186A"/>
    <w:rsid w:val="00A31DC0"/>
    <w:rsid w:val="00A33B33"/>
    <w:rsid w:val="00A34716"/>
    <w:rsid w:val="00A359C9"/>
    <w:rsid w:val="00A37018"/>
    <w:rsid w:val="00A370CD"/>
    <w:rsid w:val="00A3743A"/>
    <w:rsid w:val="00A423B6"/>
    <w:rsid w:val="00A42762"/>
    <w:rsid w:val="00A42832"/>
    <w:rsid w:val="00A43FB6"/>
    <w:rsid w:val="00A44276"/>
    <w:rsid w:val="00A4496F"/>
    <w:rsid w:val="00A4676A"/>
    <w:rsid w:val="00A4714B"/>
    <w:rsid w:val="00A47BEA"/>
    <w:rsid w:val="00A50BA4"/>
    <w:rsid w:val="00A526A9"/>
    <w:rsid w:val="00A527E2"/>
    <w:rsid w:val="00A53425"/>
    <w:rsid w:val="00A53DB5"/>
    <w:rsid w:val="00A5453E"/>
    <w:rsid w:val="00A54736"/>
    <w:rsid w:val="00A55BAC"/>
    <w:rsid w:val="00A56A63"/>
    <w:rsid w:val="00A577DB"/>
    <w:rsid w:val="00A6114B"/>
    <w:rsid w:val="00A61228"/>
    <w:rsid w:val="00A61574"/>
    <w:rsid w:val="00A63C57"/>
    <w:rsid w:val="00A64BD4"/>
    <w:rsid w:val="00A655A3"/>
    <w:rsid w:val="00A65B77"/>
    <w:rsid w:val="00A65FD4"/>
    <w:rsid w:val="00A6681A"/>
    <w:rsid w:val="00A679F4"/>
    <w:rsid w:val="00A7199A"/>
    <w:rsid w:val="00A71AC8"/>
    <w:rsid w:val="00A73686"/>
    <w:rsid w:val="00A737E4"/>
    <w:rsid w:val="00A73C6E"/>
    <w:rsid w:val="00A73E6A"/>
    <w:rsid w:val="00A74ED4"/>
    <w:rsid w:val="00A757BC"/>
    <w:rsid w:val="00A806FC"/>
    <w:rsid w:val="00A8117F"/>
    <w:rsid w:val="00A8179A"/>
    <w:rsid w:val="00A8189E"/>
    <w:rsid w:val="00A82442"/>
    <w:rsid w:val="00A83058"/>
    <w:rsid w:val="00A83E0F"/>
    <w:rsid w:val="00A85FE3"/>
    <w:rsid w:val="00A86ACB"/>
    <w:rsid w:val="00A86F52"/>
    <w:rsid w:val="00A8787A"/>
    <w:rsid w:val="00A90834"/>
    <w:rsid w:val="00A91FD3"/>
    <w:rsid w:val="00A932B1"/>
    <w:rsid w:val="00A93572"/>
    <w:rsid w:val="00A93743"/>
    <w:rsid w:val="00A93FE2"/>
    <w:rsid w:val="00A94169"/>
    <w:rsid w:val="00A943CB"/>
    <w:rsid w:val="00A955FD"/>
    <w:rsid w:val="00A95EC1"/>
    <w:rsid w:val="00A9624F"/>
    <w:rsid w:val="00A97370"/>
    <w:rsid w:val="00A978F3"/>
    <w:rsid w:val="00AA034A"/>
    <w:rsid w:val="00AA0BD6"/>
    <w:rsid w:val="00AA3193"/>
    <w:rsid w:val="00AA4400"/>
    <w:rsid w:val="00AA4480"/>
    <w:rsid w:val="00AA47D8"/>
    <w:rsid w:val="00AA5078"/>
    <w:rsid w:val="00AA546B"/>
    <w:rsid w:val="00AA6406"/>
    <w:rsid w:val="00AA7354"/>
    <w:rsid w:val="00AA7C29"/>
    <w:rsid w:val="00AB4F96"/>
    <w:rsid w:val="00AC2661"/>
    <w:rsid w:val="00AC4076"/>
    <w:rsid w:val="00AC4115"/>
    <w:rsid w:val="00AC42B1"/>
    <w:rsid w:val="00AC58DC"/>
    <w:rsid w:val="00AC76BE"/>
    <w:rsid w:val="00AD064D"/>
    <w:rsid w:val="00AD29B1"/>
    <w:rsid w:val="00AD3271"/>
    <w:rsid w:val="00AD4D49"/>
    <w:rsid w:val="00AD4E99"/>
    <w:rsid w:val="00AD5CB2"/>
    <w:rsid w:val="00AD605E"/>
    <w:rsid w:val="00AE13C4"/>
    <w:rsid w:val="00AE1934"/>
    <w:rsid w:val="00AE222F"/>
    <w:rsid w:val="00AE4252"/>
    <w:rsid w:val="00AE4A4C"/>
    <w:rsid w:val="00AE4EB6"/>
    <w:rsid w:val="00AE51FC"/>
    <w:rsid w:val="00AE66FF"/>
    <w:rsid w:val="00AE67B5"/>
    <w:rsid w:val="00AE7214"/>
    <w:rsid w:val="00AE7ED1"/>
    <w:rsid w:val="00AF14A8"/>
    <w:rsid w:val="00AF1BB5"/>
    <w:rsid w:val="00AF2FF9"/>
    <w:rsid w:val="00AF452D"/>
    <w:rsid w:val="00AF5607"/>
    <w:rsid w:val="00AF628F"/>
    <w:rsid w:val="00AF7711"/>
    <w:rsid w:val="00B023C8"/>
    <w:rsid w:val="00B02419"/>
    <w:rsid w:val="00B02721"/>
    <w:rsid w:val="00B028A0"/>
    <w:rsid w:val="00B03CA4"/>
    <w:rsid w:val="00B05479"/>
    <w:rsid w:val="00B061A0"/>
    <w:rsid w:val="00B068F6"/>
    <w:rsid w:val="00B12136"/>
    <w:rsid w:val="00B13EEF"/>
    <w:rsid w:val="00B159EE"/>
    <w:rsid w:val="00B16402"/>
    <w:rsid w:val="00B17431"/>
    <w:rsid w:val="00B17787"/>
    <w:rsid w:val="00B2126E"/>
    <w:rsid w:val="00B21A45"/>
    <w:rsid w:val="00B259C2"/>
    <w:rsid w:val="00B3196A"/>
    <w:rsid w:val="00B347E3"/>
    <w:rsid w:val="00B352D4"/>
    <w:rsid w:val="00B35D55"/>
    <w:rsid w:val="00B35FA1"/>
    <w:rsid w:val="00B365C4"/>
    <w:rsid w:val="00B37165"/>
    <w:rsid w:val="00B4027A"/>
    <w:rsid w:val="00B40A44"/>
    <w:rsid w:val="00B40C3E"/>
    <w:rsid w:val="00B40CDE"/>
    <w:rsid w:val="00B411A8"/>
    <w:rsid w:val="00B411B0"/>
    <w:rsid w:val="00B43B6F"/>
    <w:rsid w:val="00B44981"/>
    <w:rsid w:val="00B46063"/>
    <w:rsid w:val="00B46C08"/>
    <w:rsid w:val="00B518A6"/>
    <w:rsid w:val="00B51B15"/>
    <w:rsid w:val="00B54F4C"/>
    <w:rsid w:val="00B55AF6"/>
    <w:rsid w:val="00B60011"/>
    <w:rsid w:val="00B60C92"/>
    <w:rsid w:val="00B61C94"/>
    <w:rsid w:val="00B61EEC"/>
    <w:rsid w:val="00B622C7"/>
    <w:rsid w:val="00B62B58"/>
    <w:rsid w:val="00B64AF5"/>
    <w:rsid w:val="00B64BCD"/>
    <w:rsid w:val="00B6661D"/>
    <w:rsid w:val="00B666AE"/>
    <w:rsid w:val="00B668AF"/>
    <w:rsid w:val="00B677A1"/>
    <w:rsid w:val="00B67E96"/>
    <w:rsid w:val="00B7102D"/>
    <w:rsid w:val="00B7105C"/>
    <w:rsid w:val="00B742AB"/>
    <w:rsid w:val="00B742D7"/>
    <w:rsid w:val="00B759E8"/>
    <w:rsid w:val="00B81862"/>
    <w:rsid w:val="00B82803"/>
    <w:rsid w:val="00B857DC"/>
    <w:rsid w:val="00B8743B"/>
    <w:rsid w:val="00B87A6E"/>
    <w:rsid w:val="00B87ED9"/>
    <w:rsid w:val="00B90F43"/>
    <w:rsid w:val="00B912D1"/>
    <w:rsid w:val="00B92512"/>
    <w:rsid w:val="00B941BE"/>
    <w:rsid w:val="00B94590"/>
    <w:rsid w:val="00B9460E"/>
    <w:rsid w:val="00B9481A"/>
    <w:rsid w:val="00B94B99"/>
    <w:rsid w:val="00B97814"/>
    <w:rsid w:val="00B97A86"/>
    <w:rsid w:val="00BA13B1"/>
    <w:rsid w:val="00BA2412"/>
    <w:rsid w:val="00BA373B"/>
    <w:rsid w:val="00BA4EE3"/>
    <w:rsid w:val="00BA4F66"/>
    <w:rsid w:val="00BA5B90"/>
    <w:rsid w:val="00BA6B35"/>
    <w:rsid w:val="00BA70CA"/>
    <w:rsid w:val="00BB0A8B"/>
    <w:rsid w:val="00BB2021"/>
    <w:rsid w:val="00BB4671"/>
    <w:rsid w:val="00BB5B7D"/>
    <w:rsid w:val="00BB6948"/>
    <w:rsid w:val="00BB6DCC"/>
    <w:rsid w:val="00BB727B"/>
    <w:rsid w:val="00BC1992"/>
    <w:rsid w:val="00BC5375"/>
    <w:rsid w:val="00BC55D0"/>
    <w:rsid w:val="00BC6DE3"/>
    <w:rsid w:val="00BC6FE1"/>
    <w:rsid w:val="00BC7AC4"/>
    <w:rsid w:val="00BD0775"/>
    <w:rsid w:val="00BD1C44"/>
    <w:rsid w:val="00BD24BD"/>
    <w:rsid w:val="00BD4310"/>
    <w:rsid w:val="00BD4FBD"/>
    <w:rsid w:val="00BD6A24"/>
    <w:rsid w:val="00BE0BE0"/>
    <w:rsid w:val="00BE0E7B"/>
    <w:rsid w:val="00BE2537"/>
    <w:rsid w:val="00BE2E1A"/>
    <w:rsid w:val="00BE5E3C"/>
    <w:rsid w:val="00BE750F"/>
    <w:rsid w:val="00BF02A9"/>
    <w:rsid w:val="00BF03F5"/>
    <w:rsid w:val="00BF0D02"/>
    <w:rsid w:val="00BF1FDA"/>
    <w:rsid w:val="00BF24DE"/>
    <w:rsid w:val="00BF2A25"/>
    <w:rsid w:val="00BF2A2D"/>
    <w:rsid w:val="00BF3B56"/>
    <w:rsid w:val="00BF40F9"/>
    <w:rsid w:val="00BF42DA"/>
    <w:rsid w:val="00BF4B71"/>
    <w:rsid w:val="00BF56F5"/>
    <w:rsid w:val="00BF5954"/>
    <w:rsid w:val="00C00212"/>
    <w:rsid w:val="00C015CA"/>
    <w:rsid w:val="00C01A7C"/>
    <w:rsid w:val="00C02724"/>
    <w:rsid w:val="00C02BDC"/>
    <w:rsid w:val="00C032F4"/>
    <w:rsid w:val="00C03F62"/>
    <w:rsid w:val="00C04432"/>
    <w:rsid w:val="00C04F47"/>
    <w:rsid w:val="00C05BBC"/>
    <w:rsid w:val="00C05BCB"/>
    <w:rsid w:val="00C060DF"/>
    <w:rsid w:val="00C06859"/>
    <w:rsid w:val="00C071EB"/>
    <w:rsid w:val="00C1033B"/>
    <w:rsid w:val="00C13B37"/>
    <w:rsid w:val="00C14FD1"/>
    <w:rsid w:val="00C16500"/>
    <w:rsid w:val="00C16689"/>
    <w:rsid w:val="00C16AFB"/>
    <w:rsid w:val="00C16FFD"/>
    <w:rsid w:val="00C172C9"/>
    <w:rsid w:val="00C17504"/>
    <w:rsid w:val="00C17E47"/>
    <w:rsid w:val="00C21EDB"/>
    <w:rsid w:val="00C23471"/>
    <w:rsid w:val="00C2461D"/>
    <w:rsid w:val="00C24CDA"/>
    <w:rsid w:val="00C32733"/>
    <w:rsid w:val="00C32967"/>
    <w:rsid w:val="00C32E13"/>
    <w:rsid w:val="00C33923"/>
    <w:rsid w:val="00C33AE7"/>
    <w:rsid w:val="00C37459"/>
    <w:rsid w:val="00C37816"/>
    <w:rsid w:val="00C415AC"/>
    <w:rsid w:val="00C41755"/>
    <w:rsid w:val="00C4217B"/>
    <w:rsid w:val="00C4277F"/>
    <w:rsid w:val="00C43217"/>
    <w:rsid w:val="00C438A0"/>
    <w:rsid w:val="00C46C87"/>
    <w:rsid w:val="00C51C07"/>
    <w:rsid w:val="00C52C3F"/>
    <w:rsid w:val="00C548D6"/>
    <w:rsid w:val="00C561C8"/>
    <w:rsid w:val="00C5633B"/>
    <w:rsid w:val="00C624DB"/>
    <w:rsid w:val="00C62735"/>
    <w:rsid w:val="00C657BA"/>
    <w:rsid w:val="00C6673A"/>
    <w:rsid w:val="00C67199"/>
    <w:rsid w:val="00C70110"/>
    <w:rsid w:val="00C70EBF"/>
    <w:rsid w:val="00C718AE"/>
    <w:rsid w:val="00C720B9"/>
    <w:rsid w:val="00C72521"/>
    <w:rsid w:val="00C733B9"/>
    <w:rsid w:val="00C74A51"/>
    <w:rsid w:val="00C75C70"/>
    <w:rsid w:val="00C75FDF"/>
    <w:rsid w:val="00C7618D"/>
    <w:rsid w:val="00C76C8B"/>
    <w:rsid w:val="00C76D59"/>
    <w:rsid w:val="00C81F63"/>
    <w:rsid w:val="00C82256"/>
    <w:rsid w:val="00C85417"/>
    <w:rsid w:val="00C86B59"/>
    <w:rsid w:val="00C8788A"/>
    <w:rsid w:val="00C900DF"/>
    <w:rsid w:val="00C9231E"/>
    <w:rsid w:val="00C9408C"/>
    <w:rsid w:val="00C949C7"/>
    <w:rsid w:val="00C94F2B"/>
    <w:rsid w:val="00C952D2"/>
    <w:rsid w:val="00C9708A"/>
    <w:rsid w:val="00C972F2"/>
    <w:rsid w:val="00C97EA2"/>
    <w:rsid w:val="00CA0B77"/>
    <w:rsid w:val="00CA3BCC"/>
    <w:rsid w:val="00CA6EF1"/>
    <w:rsid w:val="00CB0334"/>
    <w:rsid w:val="00CB07D4"/>
    <w:rsid w:val="00CB18FC"/>
    <w:rsid w:val="00CB1A3B"/>
    <w:rsid w:val="00CB3B0F"/>
    <w:rsid w:val="00CB6685"/>
    <w:rsid w:val="00CC0394"/>
    <w:rsid w:val="00CC2014"/>
    <w:rsid w:val="00CC2D95"/>
    <w:rsid w:val="00CC3523"/>
    <w:rsid w:val="00CC514D"/>
    <w:rsid w:val="00CC71EF"/>
    <w:rsid w:val="00CD36A3"/>
    <w:rsid w:val="00CD4336"/>
    <w:rsid w:val="00CD43C6"/>
    <w:rsid w:val="00CD440C"/>
    <w:rsid w:val="00CD480A"/>
    <w:rsid w:val="00CD6D97"/>
    <w:rsid w:val="00CD7173"/>
    <w:rsid w:val="00CE10AE"/>
    <w:rsid w:val="00CE53E9"/>
    <w:rsid w:val="00CE5DFC"/>
    <w:rsid w:val="00CE67C5"/>
    <w:rsid w:val="00CE6FFA"/>
    <w:rsid w:val="00CE763B"/>
    <w:rsid w:val="00CF0230"/>
    <w:rsid w:val="00CF18D0"/>
    <w:rsid w:val="00CF1CBC"/>
    <w:rsid w:val="00CF574A"/>
    <w:rsid w:val="00CF5973"/>
    <w:rsid w:val="00CF7308"/>
    <w:rsid w:val="00CF734B"/>
    <w:rsid w:val="00CF73E2"/>
    <w:rsid w:val="00CF7E6D"/>
    <w:rsid w:val="00D00C49"/>
    <w:rsid w:val="00D02652"/>
    <w:rsid w:val="00D036C5"/>
    <w:rsid w:val="00D05495"/>
    <w:rsid w:val="00D06063"/>
    <w:rsid w:val="00D069B4"/>
    <w:rsid w:val="00D10456"/>
    <w:rsid w:val="00D1081C"/>
    <w:rsid w:val="00D12B8E"/>
    <w:rsid w:val="00D12D95"/>
    <w:rsid w:val="00D131F2"/>
    <w:rsid w:val="00D1404E"/>
    <w:rsid w:val="00D163FB"/>
    <w:rsid w:val="00D17948"/>
    <w:rsid w:val="00D17ED4"/>
    <w:rsid w:val="00D21BEC"/>
    <w:rsid w:val="00D221BA"/>
    <w:rsid w:val="00D24B42"/>
    <w:rsid w:val="00D250F8"/>
    <w:rsid w:val="00D261C1"/>
    <w:rsid w:val="00D27C0F"/>
    <w:rsid w:val="00D27F46"/>
    <w:rsid w:val="00D31884"/>
    <w:rsid w:val="00D31D2B"/>
    <w:rsid w:val="00D371F8"/>
    <w:rsid w:val="00D3777D"/>
    <w:rsid w:val="00D43371"/>
    <w:rsid w:val="00D43DC7"/>
    <w:rsid w:val="00D440AD"/>
    <w:rsid w:val="00D447A5"/>
    <w:rsid w:val="00D45989"/>
    <w:rsid w:val="00D45FE8"/>
    <w:rsid w:val="00D50F76"/>
    <w:rsid w:val="00D52669"/>
    <w:rsid w:val="00D53F15"/>
    <w:rsid w:val="00D544BC"/>
    <w:rsid w:val="00D553C6"/>
    <w:rsid w:val="00D56D2A"/>
    <w:rsid w:val="00D57987"/>
    <w:rsid w:val="00D6092E"/>
    <w:rsid w:val="00D60CA4"/>
    <w:rsid w:val="00D6431A"/>
    <w:rsid w:val="00D657E9"/>
    <w:rsid w:val="00D65D02"/>
    <w:rsid w:val="00D65FAC"/>
    <w:rsid w:val="00D66943"/>
    <w:rsid w:val="00D67416"/>
    <w:rsid w:val="00D67DFC"/>
    <w:rsid w:val="00D67F16"/>
    <w:rsid w:val="00D67F89"/>
    <w:rsid w:val="00D7019A"/>
    <w:rsid w:val="00D70534"/>
    <w:rsid w:val="00D71626"/>
    <w:rsid w:val="00D72CCF"/>
    <w:rsid w:val="00D74080"/>
    <w:rsid w:val="00D74260"/>
    <w:rsid w:val="00D753A0"/>
    <w:rsid w:val="00D758E8"/>
    <w:rsid w:val="00D76B08"/>
    <w:rsid w:val="00D8064B"/>
    <w:rsid w:val="00D83028"/>
    <w:rsid w:val="00D84F7A"/>
    <w:rsid w:val="00D850DA"/>
    <w:rsid w:val="00D852C9"/>
    <w:rsid w:val="00D87011"/>
    <w:rsid w:val="00D872C0"/>
    <w:rsid w:val="00D93663"/>
    <w:rsid w:val="00D93B0F"/>
    <w:rsid w:val="00D9551A"/>
    <w:rsid w:val="00D95608"/>
    <w:rsid w:val="00D976A6"/>
    <w:rsid w:val="00D97D3F"/>
    <w:rsid w:val="00DA1C7A"/>
    <w:rsid w:val="00DA3524"/>
    <w:rsid w:val="00DA59F0"/>
    <w:rsid w:val="00DB03E7"/>
    <w:rsid w:val="00DB2005"/>
    <w:rsid w:val="00DB2057"/>
    <w:rsid w:val="00DB37CC"/>
    <w:rsid w:val="00DB4B77"/>
    <w:rsid w:val="00DB50D0"/>
    <w:rsid w:val="00DB6803"/>
    <w:rsid w:val="00DB788B"/>
    <w:rsid w:val="00DB7EEB"/>
    <w:rsid w:val="00DC13E1"/>
    <w:rsid w:val="00DC1420"/>
    <w:rsid w:val="00DC148B"/>
    <w:rsid w:val="00DC18BC"/>
    <w:rsid w:val="00DC23C7"/>
    <w:rsid w:val="00DC2593"/>
    <w:rsid w:val="00DC2EB8"/>
    <w:rsid w:val="00DC30D0"/>
    <w:rsid w:val="00DC409C"/>
    <w:rsid w:val="00DC6205"/>
    <w:rsid w:val="00DC68FE"/>
    <w:rsid w:val="00DC6A71"/>
    <w:rsid w:val="00DC7133"/>
    <w:rsid w:val="00DD0F01"/>
    <w:rsid w:val="00DD108B"/>
    <w:rsid w:val="00DD18DC"/>
    <w:rsid w:val="00DD3BA8"/>
    <w:rsid w:val="00DD424D"/>
    <w:rsid w:val="00DD44A8"/>
    <w:rsid w:val="00DD5A9B"/>
    <w:rsid w:val="00DD748D"/>
    <w:rsid w:val="00DE06A9"/>
    <w:rsid w:val="00DE0931"/>
    <w:rsid w:val="00DE2A9A"/>
    <w:rsid w:val="00DE33EA"/>
    <w:rsid w:val="00DE7292"/>
    <w:rsid w:val="00DE77A6"/>
    <w:rsid w:val="00DF005A"/>
    <w:rsid w:val="00DF030A"/>
    <w:rsid w:val="00DF03AE"/>
    <w:rsid w:val="00DF0923"/>
    <w:rsid w:val="00DF1D71"/>
    <w:rsid w:val="00DF2C3B"/>
    <w:rsid w:val="00DF2D87"/>
    <w:rsid w:val="00DF43F0"/>
    <w:rsid w:val="00DF7133"/>
    <w:rsid w:val="00DF725A"/>
    <w:rsid w:val="00DF72CF"/>
    <w:rsid w:val="00E0011E"/>
    <w:rsid w:val="00E001EA"/>
    <w:rsid w:val="00E02229"/>
    <w:rsid w:val="00E05256"/>
    <w:rsid w:val="00E06C63"/>
    <w:rsid w:val="00E1146E"/>
    <w:rsid w:val="00E135D6"/>
    <w:rsid w:val="00E1534A"/>
    <w:rsid w:val="00E153B5"/>
    <w:rsid w:val="00E15BDB"/>
    <w:rsid w:val="00E1711B"/>
    <w:rsid w:val="00E17FA7"/>
    <w:rsid w:val="00E22293"/>
    <w:rsid w:val="00E2243B"/>
    <w:rsid w:val="00E23715"/>
    <w:rsid w:val="00E251BD"/>
    <w:rsid w:val="00E27474"/>
    <w:rsid w:val="00E330B2"/>
    <w:rsid w:val="00E33D25"/>
    <w:rsid w:val="00E3433B"/>
    <w:rsid w:val="00E3435E"/>
    <w:rsid w:val="00E34BDD"/>
    <w:rsid w:val="00E36538"/>
    <w:rsid w:val="00E3664D"/>
    <w:rsid w:val="00E367AD"/>
    <w:rsid w:val="00E37CA8"/>
    <w:rsid w:val="00E401CB"/>
    <w:rsid w:val="00E40574"/>
    <w:rsid w:val="00E4137C"/>
    <w:rsid w:val="00E429AD"/>
    <w:rsid w:val="00E42A0D"/>
    <w:rsid w:val="00E43294"/>
    <w:rsid w:val="00E45518"/>
    <w:rsid w:val="00E46348"/>
    <w:rsid w:val="00E5097D"/>
    <w:rsid w:val="00E51EEA"/>
    <w:rsid w:val="00E5243F"/>
    <w:rsid w:val="00E55EDC"/>
    <w:rsid w:val="00E57019"/>
    <w:rsid w:val="00E60005"/>
    <w:rsid w:val="00E605C5"/>
    <w:rsid w:val="00E611CE"/>
    <w:rsid w:val="00E62336"/>
    <w:rsid w:val="00E62BCA"/>
    <w:rsid w:val="00E63073"/>
    <w:rsid w:val="00E630DE"/>
    <w:rsid w:val="00E63B0F"/>
    <w:rsid w:val="00E64BF7"/>
    <w:rsid w:val="00E6563F"/>
    <w:rsid w:val="00E70D79"/>
    <w:rsid w:val="00E748E8"/>
    <w:rsid w:val="00E755AF"/>
    <w:rsid w:val="00E80BC2"/>
    <w:rsid w:val="00E80FC3"/>
    <w:rsid w:val="00E8146F"/>
    <w:rsid w:val="00E818CF"/>
    <w:rsid w:val="00E81DBD"/>
    <w:rsid w:val="00E81E8A"/>
    <w:rsid w:val="00E81E8C"/>
    <w:rsid w:val="00E828C3"/>
    <w:rsid w:val="00E8298C"/>
    <w:rsid w:val="00E829C8"/>
    <w:rsid w:val="00E830FC"/>
    <w:rsid w:val="00E8369C"/>
    <w:rsid w:val="00E8379C"/>
    <w:rsid w:val="00E84E5C"/>
    <w:rsid w:val="00E8621B"/>
    <w:rsid w:val="00E8718A"/>
    <w:rsid w:val="00E9253D"/>
    <w:rsid w:val="00E93390"/>
    <w:rsid w:val="00E93532"/>
    <w:rsid w:val="00E941F0"/>
    <w:rsid w:val="00E97494"/>
    <w:rsid w:val="00EA21FA"/>
    <w:rsid w:val="00EA31AC"/>
    <w:rsid w:val="00EA4191"/>
    <w:rsid w:val="00EA5136"/>
    <w:rsid w:val="00EB0825"/>
    <w:rsid w:val="00EB3339"/>
    <w:rsid w:val="00EB3776"/>
    <w:rsid w:val="00EB459D"/>
    <w:rsid w:val="00EB4A4D"/>
    <w:rsid w:val="00EB772E"/>
    <w:rsid w:val="00EB7F75"/>
    <w:rsid w:val="00EC2E81"/>
    <w:rsid w:val="00EC3323"/>
    <w:rsid w:val="00EC4C4A"/>
    <w:rsid w:val="00EC63A4"/>
    <w:rsid w:val="00ED1D42"/>
    <w:rsid w:val="00ED2819"/>
    <w:rsid w:val="00ED2858"/>
    <w:rsid w:val="00ED3A00"/>
    <w:rsid w:val="00ED3BBF"/>
    <w:rsid w:val="00ED42DC"/>
    <w:rsid w:val="00ED477F"/>
    <w:rsid w:val="00ED5876"/>
    <w:rsid w:val="00ED6012"/>
    <w:rsid w:val="00ED6401"/>
    <w:rsid w:val="00ED6C3D"/>
    <w:rsid w:val="00ED7973"/>
    <w:rsid w:val="00EE0689"/>
    <w:rsid w:val="00EE1F79"/>
    <w:rsid w:val="00EE20D8"/>
    <w:rsid w:val="00EE4418"/>
    <w:rsid w:val="00EE4E46"/>
    <w:rsid w:val="00EE5D87"/>
    <w:rsid w:val="00EE625C"/>
    <w:rsid w:val="00EF168F"/>
    <w:rsid w:val="00EF31E5"/>
    <w:rsid w:val="00EF41C8"/>
    <w:rsid w:val="00EF5400"/>
    <w:rsid w:val="00EF5A36"/>
    <w:rsid w:val="00EF679A"/>
    <w:rsid w:val="00EF794F"/>
    <w:rsid w:val="00F013AC"/>
    <w:rsid w:val="00F024A7"/>
    <w:rsid w:val="00F063D6"/>
    <w:rsid w:val="00F07621"/>
    <w:rsid w:val="00F07BB6"/>
    <w:rsid w:val="00F13B4E"/>
    <w:rsid w:val="00F143BF"/>
    <w:rsid w:val="00F1547A"/>
    <w:rsid w:val="00F15DD7"/>
    <w:rsid w:val="00F16DAF"/>
    <w:rsid w:val="00F20D67"/>
    <w:rsid w:val="00F22F92"/>
    <w:rsid w:val="00F25DAE"/>
    <w:rsid w:val="00F26D3F"/>
    <w:rsid w:val="00F300DF"/>
    <w:rsid w:val="00F307FB"/>
    <w:rsid w:val="00F30A9B"/>
    <w:rsid w:val="00F30C99"/>
    <w:rsid w:val="00F32EDE"/>
    <w:rsid w:val="00F33497"/>
    <w:rsid w:val="00F33B85"/>
    <w:rsid w:val="00F340FE"/>
    <w:rsid w:val="00F361B4"/>
    <w:rsid w:val="00F37D47"/>
    <w:rsid w:val="00F4030C"/>
    <w:rsid w:val="00F40CE8"/>
    <w:rsid w:val="00F41846"/>
    <w:rsid w:val="00F45939"/>
    <w:rsid w:val="00F47244"/>
    <w:rsid w:val="00F472A5"/>
    <w:rsid w:val="00F50215"/>
    <w:rsid w:val="00F525D1"/>
    <w:rsid w:val="00F5277D"/>
    <w:rsid w:val="00F54569"/>
    <w:rsid w:val="00F6055C"/>
    <w:rsid w:val="00F6177D"/>
    <w:rsid w:val="00F61FDD"/>
    <w:rsid w:val="00F6509A"/>
    <w:rsid w:val="00F66698"/>
    <w:rsid w:val="00F66700"/>
    <w:rsid w:val="00F66E1C"/>
    <w:rsid w:val="00F7161C"/>
    <w:rsid w:val="00F72B0B"/>
    <w:rsid w:val="00F740B2"/>
    <w:rsid w:val="00F76355"/>
    <w:rsid w:val="00F76565"/>
    <w:rsid w:val="00F7737A"/>
    <w:rsid w:val="00F77E93"/>
    <w:rsid w:val="00F80255"/>
    <w:rsid w:val="00F82E1F"/>
    <w:rsid w:val="00F846E0"/>
    <w:rsid w:val="00F851C0"/>
    <w:rsid w:val="00F866A0"/>
    <w:rsid w:val="00F87DD3"/>
    <w:rsid w:val="00F91BA6"/>
    <w:rsid w:val="00F948F8"/>
    <w:rsid w:val="00F94E15"/>
    <w:rsid w:val="00F95750"/>
    <w:rsid w:val="00F965A3"/>
    <w:rsid w:val="00F96B48"/>
    <w:rsid w:val="00FA01F7"/>
    <w:rsid w:val="00FA1C9E"/>
    <w:rsid w:val="00FA2372"/>
    <w:rsid w:val="00FA2779"/>
    <w:rsid w:val="00FA2D4B"/>
    <w:rsid w:val="00FA384E"/>
    <w:rsid w:val="00FA3F3A"/>
    <w:rsid w:val="00FA430E"/>
    <w:rsid w:val="00FA5226"/>
    <w:rsid w:val="00FA78F0"/>
    <w:rsid w:val="00FB4E2F"/>
    <w:rsid w:val="00FB51D0"/>
    <w:rsid w:val="00FB73F2"/>
    <w:rsid w:val="00FC0177"/>
    <w:rsid w:val="00FC03A9"/>
    <w:rsid w:val="00FC0F4D"/>
    <w:rsid w:val="00FC4C30"/>
    <w:rsid w:val="00FC515F"/>
    <w:rsid w:val="00FC6471"/>
    <w:rsid w:val="00FC757A"/>
    <w:rsid w:val="00FD0E72"/>
    <w:rsid w:val="00FD10B9"/>
    <w:rsid w:val="00FD1191"/>
    <w:rsid w:val="00FD1BA1"/>
    <w:rsid w:val="00FD2747"/>
    <w:rsid w:val="00FD28BF"/>
    <w:rsid w:val="00FD3068"/>
    <w:rsid w:val="00FD3C4E"/>
    <w:rsid w:val="00FD40D3"/>
    <w:rsid w:val="00FD4384"/>
    <w:rsid w:val="00FD473B"/>
    <w:rsid w:val="00FD5D36"/>
    <w:rsid w:val="00FD78C5"/>
    <w:rsid w:val="00FE0778"/>
    <w:rsid w:val="00FE1FAF"/>
    <w:rsid w:val="00FE2888"/>
    <w:rsid w:val="00FE2C89"/>
    <w:rsid w:val="00FE3161"/>
    <w:rsid w:val="00FE503A"/>
    <w:rsid w:val="00FF1552"/>
    <w:rsid w:val="00FF3341"/>
    <w:rsid w:val="00FF34A8"/>
    <w:rsid w:val="00FF36F2"/>
    <w:rsid w:val="00FF42B9"/>
    <w:rsid w:val="00FF624C"/>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01AD61-5C5E-460A-AA67-95EF15CB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7D"/>
    <w:pPr>
      <w:suppressAutoHyphens/>
    </w:pPr>
    <w:rPr>
      <w:sz w:val="20"/>
      <w:szCs w:val="20"/>
      <w:lang w:eastAsia="zh-CN"/>
    </w:rPr>
  </w:style>
  <w:style w:type="paragraph" w:styleId="1">
    <w:name w:val="heading 1"/>
    <w:basedOn w:val="a"/>
    <w:next w:val="a"/>
    <w:link w:val="11"/>
    <w:uiPriority w:val="99"/>
    <w:qFormat/>
    <w:rsid w:val="00826C7D"/>
    <w:pPr>
      <w:keepNext/>
      <w:numPr>
        <w:numId w:val="1"/>
      </w:numPr>
      <w:jc w:val="center"/>
      <w:outlineLvl w:val="0"/>
    </w:pPr>
    <w:rPr>
      <w:b/>
      <w:bCs/>
      <w:sz w:val="24"/>
      <w:u w:val="single"/>
    </w:rPr>
  </w:style>
  <w:style w:type="paragraph" w:styleId="2">
    <w:name w:val="heading 2"/>
    <w:basedOn w:val="a"/>
    <w:next w:val="a"/>
    <w:link w:val="21"/>
    <w:uiPriority w:val="99"/>
    <w:qFormat/>
    <w:rsid w:val="00826C7D"/>
    <w:pPr>
      <w:keepNext/>
      <w:numPr>
        <w:ilvl w:val="1"/>
        <w:numId w:val="1"/>
      </w:numPr>
      <w:jc w:val="both"/>
      <w:outlineLvl w:val="1"/>
    </w:pPr>
    <w:rPr>
      <w:rFonts w:eastAsia="Arial Unicode MS"/>
      <w:sz w:val="28"/>
    </w:rPr>
  </w:style>
  <w:style w:type="paragraph" w:styleId="3">
    <w:name w:val="heading 3"/>
    <w:basedOn w:val="a"/>
    <w:next w:val="a"/>
    <w:link w:val="31"/>
    <w:uiPriority w:val="99"/>
    <w:qFormat/>
    <w:rsid w:val="00826C7D"/>
    <w:pPr>
      <w:keepNext/>
      <w:numPr>
        <w:ilvl w:val="2"/>
        <w:numId w:val="1"/>
      </w:numPr>
      <w:jc w:val="center"/>
      <w:outlineLvl w:val="2"/>
    </w:pPr>
    <w:rPr>
      <w:b/>
      <w:sz w:val="24"/>
    </w:rPr>
  </w:style>
  <w:style w:type="paragraph" w:styleId="4">
    <w:name w:val="heading 4"/>
    <w:basedOn w:val="a"/>
    <w:next w:val="a"/>
    <w:link w:val="41"/>
    <w:uiPriority w:val="99"/>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link w:val="71"/>
    <w:uiPriority w:val="99"/>
    <w:qFormat/>
    <w:rsid w:val="00826C7D"/>
    <w:pPr>
      <w:numPr>
        <w:ilvl w:val="6"/>
        <w:numId w:val="1"/>
      </w:numPr>
      <w:spacing w:before="240" w:after="60" w:line="276" w:lineRule="auto"/>
      <w:outlineLvl w:val="6"/>
    </w:pPr>
    <w:rPr>
      <w:rFonts w:ascii="Calibri" w:hAnsi="Calibri" w:cs="Calibri"/>
      <w:sz w:val="24"/>
      <w:szCs w:val="24"/>
    </w:rPr>
  </w:style>
  <w:style w:type="paragraph" w:styleId="8">
    <w:name w:val="heading 8"/>
    <w:basedOn w:val="a"/>
    <w:next w:val="a"/>
    <w:link w:val="81"/>
    <w:uiPriority w:val="99"/>
    <w:qFormat/>
    <w:rsid w:val="00826C7D"/>
    <w:pPr>
      <w:numPr>
        <w:ilvl w:val="7"/>
        <w:numId w:val="1"/>
      </w:numPr>
      <w:spacing w:before="240" w:after="60" w:line="276" w:lineRule="auto"/>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84999"/>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284999"/>
    <w:rPr>
      <w:rFonts w:ascii="Cambria" w:hAnsi="Cambria" w:cs="Times New Roman"/>
      <w:b/>
      <w:bCs/>
      <w:i/>
      <w:iCs/>
      <w:sz w:val="28"/>
      <w:szCs w:val="28"/>
      <w:lang w:eastAsia="zh-CN"/>
    </w:rPr>
  </w:style>
  <w:style w:type="character" w:customStyle="1" w:styleId="31">
    <w:name w:val="Заголовок 3 Знак1"/>
    <w:basedOn w:val="a0"/>
    <w:link w:val="3"/>
    <w:uiPriority w:val="99"/>
    <w:semiHidden/>
    <w:locked/>
    <w:rsid w:val="0028499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284999"/>
    <w:rPr>
      <w:rFonts w:ascii="Calibri" w:hAnsi="Calibri" w:cs="Times New Roman"/>
      <w:b/>
      <w:bCs/>
      <w:sz w:val="28"/>
      <w:szCs w:val="28"/>
      <w:lang w:eastAsia="zh-CN"/>
    </w:rPr>
  </w:style>
  <w:style w:type="character" w:customStyle="1" w:styleId="71">
    <w:name w:val="Заголовок 7 Знак1"/>
    <w:basedOn w:val="a0"/>
    <w:link w:val="7"/>
    <w:uiPriority w:val="99"/>
    <w:semiHidden/>
    <w:locked/>
    <w:rsid w:val="00284999"/>
    <w:rPr>
      <w:rFonts w:ascii="Calibri" w:hAnsi="Calibri" w:cs="Times New Roman"/>
      <w:sz w:val="24"/>
      <w:szCs w:val="24"/>
      <w:lang w:eastAsia="zh-CN"/>
    </w:rPr>
  </w:style>
  <w:style w:type="character" w:customStyle="1" w:styleId="81">
    <w:name w:val="Заголовок 8 Знак1"/>
    <w:basedOn w:val="a0"/>
    <w:link w:val="8"/>
    <w:uiPriority w:val="99"/>
    <w:semiHidden/>
    <w:locked/>
    <w:rsid w:val="00284999"/>
    <w:rPr>
      <w:rFonts w:ascii="Calibri" w:hAnsi="Calibri" w:cs="Times New Roman"/>
      <w:i/>
      <w:iCs/>
      <w:sz w:val="24"/>
      <w:szCs w:val="24"/>
      <w:lang w:eastAsia="zh-CN"/>
    </w:rPr>
  </w:style>
  <w:style w:type="character" w:customStyle="1" w:styleId="12">
    <w:name w:val="Основной шрифт абзаца12"/>
    <w:uiPriority w:val="99"/>
    <w:rsid w:val="00826C7D"/>
  </w:style>
  <w:style w:type="character" w:customStyle="1" w:styleId="110">
    <w:name w:val="Основной шрифт абзаца11"/>
    <w:uiPriority w:val="99"/>
    <w:rsid w:val="00826C7D"/>
  </w:style>
  <w:style w:type="character" w:customStyle="1" w:styleId="10">
    <w:name w:val="Основной шрифт абзаца10"/>
    <w:uiPriority w:val="99"/>
    <w:rsid w:val="00826C7D"/>
  </w:style>
  <w:style w:type="character" w:customStyle="1" w:styleId="Absatz-Standardschriftart">
    <w:name w:val="Absatz-Standardschriftart"/>
    <w:uiPriority w:val="99"/>
    <w:rsid w:val="00826C7D"/>
  </w:style>
  <w:style w:type="character" w:customStyle="1" w:styleId="9">
    <w:name w:val="Основной шрифт абзаца9"/>
    <w:uiPriority w:val="99"/>
    <w:rsid w:val="00826C7D"/>
  </w:style>
  <w:style w:type="character" w:customStyle="1" w:styleId="80">
    <w:name w:val="Основной шрифт абзаца8"/>
    <w:uiPriority w:val="99"/>
    <w:rsid w:val="00826C7D"/>
  </w:style>
  <w:style w:type="character" w:customStyle="1" w:styleId="70">
    <w:name w:val="Основной шрифт абзаца7"/>
    <w:uiPriority w:val="99"/>
    <w:rsid w:val="00826C7D"/>
  </w:style>
  <w:style w:type="character" w:customStyle="1" w:styleId="6">
    <w:name w:val="Основной шрифт абзаца6"/>
    <w:uiPriority w:val="99"/>
    <w:rsid w:val="00826C7D"/>
  </w:style>
  <w:style w:type="character" w:customStyle="1" w:styleId="5">
    <w:name w:val="Основной шрифт абзаца5"/>
    <w:uiPriority w:val="99"/>
    <w:rsid w:val="00826C7D"/>
  </w:style>
  <w:style w:type="character" w:customStyle="1" w:styleId="WW-Absatz-Standardschriftart">
    <w:name w:val="WW-Absatz-Standardschriftart"/>
    <w:uiPriority w:val="99"/>
    <w:rsid w:val="00826C7D"/>
  </w:style>
  <w:style w:type="character" w:customStyle="1" w:styleId="40">
    <w:name w:val="Основной шрифт абзаца4"/>
    <w:uiPriority w:val="99"/>
    <w:rsid w:val="00826C7D"/>
  </w:style>
  <w:style w:type="character" w:customStyle="1" w:styleId="WW-Absatz-Standardschriftart1">
    <w:name w:val="WW-Absatz-Standardschriftart1"/>
    <w:uiPriority w:val="99"/>
    <w:rsid w:val="00826C7D"/>
  </w:style>
  <w:style w:type="character" w:customStyle="1" w:styleId="30">
    <w:name w:val="Основной шрифт абзаца3"/>
    <w:uiPriority w:val="99"/>
    <w:rsid w:val="00826C7D"/>
  </w:style>
  <w:style w:type="character" w:customStyle="1" w:styleId="WW-Absatz-Standardschriftart11">
    <w:name w:val="WW-Absatz-Standardschriftart11"/>
    <w:uiPriority w:val="99"/>
    <w:rsid w:val="00826C7D"/>
  </w:style>
  <w:style w:type="character" w:customStyle="1" w:styleId="WW-Absatz-Standardschriftart111">
    <w:name w:val="WW-Absatz-Standardschriftart111"/>
    <w:uiPriority w:val="99"/>
    <w:rsid w:val="00826C7D"/>
  </w:style>
  <w:style w:type="character" w:customStyle="1" w:styleId="WW-Absatz-Standardschriftart1111">
    <w:name w:val="WW-Absatz-Standardschriftart1111"/>
    <w:uiPriority w:val="99"/>
    <w:rsid w:val="00826C7D"/>
  </w:style>
  <w:style w:type="character" w:customStyle="1" w:styleId="WW-Absatz-Standardschriftart11111">
    <w:name w:val="WW-Absatz-Standardschriftart11111"/>
    <w:uiPriority w:val="99"/>
    <w:rsid w:val="00826C7D"/>
  </w:style>
  <w:style w:type="character" w:customStyle="1" w:styleId="WW8Num2z0">
    <w:name w:val="WW8Num2z0"/>
    <w:uiPriority w:val="99"/>
    <w:rsid w:val="00826C7D"/>
    <w:rPr>
      <w:rFonts w:ascii="Times New Roman" w:hAnsi="Times New Roman"/>
    </w:rPr>
  </w:style>
  <w:style w:type="character" w:customStyle="1" w:styleId="20">
    <w:name w:val="Основной шрифт абзаца2"/>
    <w:uiPriority w:val="99"/>
    <w:rsid w:val="00826C7D"/>
  </w:style>
  <w:style w:type="character" w:customStyle="1" w:styleId="WW8Num1z0">
    <w:name w:val="WW8Num1z0"/>
    <w:uiPriority w:val="99"/>
    <w:rsid w:val="00826C7D"/>
    <w:rPr>
      <w:rFonts w:ascii="Times New Roman" w:hAnsi="Times New Roman"/>
    </w:rPr>
  </w:style>
  <w:style w:type="character" w:customStyle="1" w:styleId="WW8Num2z1">
    <w:name w:val="WW8Num2z1"/>
    <w:uiPriority w:val="99"/>
    <w:rsid w:val="00826C7D"/>
    <w:rPr>
      <w:rFonts w:ascii="Courier New" w:hAnsi="Courier New"/>
    </w:rPr>
  </w:style>
  <w:style w:type="character" w:customStyle="1" w:styleId="WW8Num2z2">
    <w:name w:val="WW8Num2z2"/>
    <w:uiPriority w:val="99"/>
    <w:rsid w:val="00826C7D"/>
    <w:rPr>
      <w:rFonts w:ascii="Wingdings" w:hAnsi="Wingdings"/>
    </w:rPr>
  </w:style>
  <w:style w:type="character" w:customStyle="1" w:styleId="WW8Num2z3">
    <w:name w:val="WW8Num2z3"/>
    <w:uiPriority w:val="99"/>
    <w:rsid w:val="00826C7D"/>
    <w:rPr>
      <w:rFonts w:ascii="Symbol" w:hAnsi="Symbol"/>
    </w:rPr>
  </w:style>
  <w:style w:type="character" w:customStyle="1" w:styleId="WW8Num6z0">
    <w:name w:val="WW8Num6z0"/>
    <w:uiPriority w:val="99"/>
    <w:rsid w:val="00826C7D"/>
    <w:rPr>
      <w:rFonts w:ascii="Wingdings" w:hAnsi="Wingdings"/>
    </w:rPr>
  </w:style>
  <w:style w:type="character" w:customStyle="1" w:styleId="WW8Num6z1">
    <w:name w:val="WW8Num6z1"/>
    <w:uiPriority w:val="99"/>
    <w:rsid w:val="00826C7D"/>
    <w:rPr>
      <w:rFonts w:ascii="Courier New" w:hAnsi="Courier New"/>
    </w:rPr>
  </w:style>
  <w:style w:type="character" w:customStyle="1" w:styleId="WW8Num6z3">
    <w:name w:val="WW8Num6z3"/>
    <w:uiPriority w:val="99"/>
    <w:rsid w:val="00826C7D"/>
    <w:rPr>
      <w:rFonts w:ascii="Symbol" w:hAnsi="Symbol"/>
    </w:rPr>
  </w:style>
  <w:style w:type="character" w:customStyle="1" w:styleId="WW8Num7z0">
    <w:name w:val="WW8Num7z0"/>
    <w:uiPriority w:val="99"/>
    <w:rsid w:val="00826C7D"/>
    <w:rPr>
      <w:rFonts w:ascii="Symbol" w:hAnsi="Symbol"/>
    </w:rPr>
  </w:style>
  <w:style w:type="character" w:customStyle="1" w:styleId="WW8Num7z1">
    <w:name w:val="WW8Num7z1"/>
    <w:uiPriority w:val="99"/>
    <w:rsid w:val="00826C7D"/>
    <w:rPr>
      <w:rFonts w:ascii="Courier New" w:hAnsi="Courier New"/>
    </w:rPr>
  </w:style>
  <w:style w:type="character" w:customStyle="1" w:styleId="WW8Num7z2">
    <w:name w:val="WW8Num7z2"/>
    <w:uiPriority w:val="99"/>
    <w:rsid w:val="00826C7D"/>
    <w:rPr>
      <w:rFonts w:ascii="Wingdings" w:hAnsi="Wingdings"/>
    </w:rPr>
  </w:style>
  <w:style w:type="character" w:customStyle="1" w:styleId="13">
    <w:name w:val="Основной шрифт абзаца1"/>
    <w:uiPriority w:val="99"/>
    <w:rsid w:val="00826C7D"/>
  </w:style>
  <w:style w:type="character" w:styleId="a3">
    <w:name w:val="page number"/>
    <w:basedOn w:val="13"/>
    <w:uiPriority w:val="99"/>
    <w:rsid w:val="00826C7D"/>
    <w:rPr>
      <w:rFonts w:cs="Times New Roman"/>
    </w:rPr>
  </w:style>
  <w:style w:type="character" w:customStyle="1" w:styleId="a4">
    <w:name w:val="Гипертекстовая ссылка"/>
    <w:uiPriority w:val="99"/>
    <w:rsid w:val="00826C7D"/>
    <w:rPr>
      <w:color w:val="008000"/>
    </w:rPr>
  </w:style>
  <w:style w:type="character" w:customStyle="1" w:styleId="BodyTextIndent2Char">
    <w:name w:val="Body Text Indent 2 Char"/>
    <w:uiPriority w:val="99"/>
    <w:locked/>
    <w:rsid w:val="00826C7D"/>
    <w:rPr>
      <w:sz w:val="24"/>
      <w:lang w:val="ru-RU"/>
    </w:rPr>
  </w:style>
  <w:style w:type="character" w:customStyle="1" w:styleId="a5">
    <w:name w:val="Текст Знак"/>
    <w:uiPriority w:val="99"/>
    <w:rsid w:val="00826C7D"/>
    <w:rPr>
      <w:rFonts w:ascii="Courier New" w:hAnsi="Courier New"/>
      <w:lang w:val="ru-RU"/>
    </w:rPr>
  </w:style>
  <w:style w:type="character" w:customStyle="1" w:styleId="TitleChar">
    <w:name w:val="Title Char"/>
    <w:uiPriority w:val="99"/>
    <w:locked/>
    <w:rsid w:val="00826C7D"/>
    <w:rPr>
      <w:b/>
      <w:sz w:val="24"/>
      <w:lang w:val="ru-RU"/>
    </w:rPr>
  </w:style>
  <w:style w:type="character" w:customStyle="1" w:styleId="a6">
    <w:name w:val="Основной текст с отступом Знак"/>
    <w:uiPriority w:val="99"/>
    <w:rsid w:val="00826C7D"/>
    <w:rPr>
      <w:sz w:val="24"/>
      <w:lang w:val="ru-RU"/>
    </w:rPr>
  </w:style>
  <w:style w:type="character" w:styleId="a7">
    <w:name w:val="Strong"/>
    <w:basedOn w:val="a0"/>
    <w:uiPriority w:val="99"/>
    <w:qFormat/>
    <w:rsid w:val="00826C7D"/>
    <w:rPr>
      <w:rFonts w:cs="Times New Roman"/>
      <w:b/>
    </w:rPr>
  </w:style>
  <w:style w:type="character" w:customStyle="1" w:styleId="a8">
    <w:name w:val="Нижний колонтитул Знак"/>
    <w:basedOn w:val="13"/>
    <w:uiPriority w:val="99"/>
    <w:rsid w:val="00826C7D"/>
    <w:rPr>
      <w:rFonts w:cs="Times New Roman"/>
    </w:rPr>
  </w:style>
  <w:style w:type="character" w:customStyle="1" w:styleId="a9">
    <w:name w:val="Текст концевой сноски Знак"/>
    <w:basedOn w:val="13"/>
    <w:uiPriority w:val="99"/>
    <w:rsid w:val="00826C7D"/>
    <w:rPr>
      <w:rFonts w:cs="Times New Roman"/>
    </w:rPr>
  </w:style>
  <w:style w:type="character" w:customStyle="1" w:styleId="aa">
    <w:name w:val="Символы концевой сноски"/>
    <w:uiPriority w:val="99"/>
    <w:rsid w:val="00826C7D"/>
    <w:rPr>
      <w:vertAlign w:val="superscript"/>
    </w:rPr>
  </w:style>
  <w:style w:type="character" w:customStyle="1" w:styleId="ab">
    <w:name w:val="Текст сноски Знак"/>
    <w:basedOn w:val="13"/>
    <w:uiPriority w:val="99"/>
    <w:rsid w:val="00826C7D"/>
    <w:rPr>
      <w:rFonts w:cs="Times New Roman"/>
    </w:rPr>
  </w:style>
  <w:style w:type="character" w:customStyle="1" w:styleId="ac">
    <w:name w:val="Символ сноски"/>
    <w:uiPriority w:val="99"/>
    <w:rsid w:val="00826C7D"/>
    <w:rPr>
      <w:vertAlign w:val="superscript"/>
    </w:rPr>
  </w:style>
  <w:style w:type="character" w:customStyle="1" w:styleId="22">
    <w:name w:val="Основной текст 2 Знак"/>
    <w:basedOn w:val="13"/>
    <w:uiPriority w:val="99"/>
    <w:rsid w:val="00826C7D"/>
    <w:rPr>
      <w:rFonts w:cs="Times New Roman"/>
    </w:rPr>
  </w:style>
  <w:style w:type="character" w:customStyle="1" w:styleId="72">
    <w:name w:val="Заголовок 7 Знак"/>
    <w:uiPriority w:val="99"/>
    <w:rsid w:val="00826C7D"/>
    <w:rPr>
      <w:rFonts w:ascii="Calibri" w:hAnsi="Calibri"/>
      <w:sz w:val="24"/>
    </w:rPr>
  </w:style>
  <w:style w:type="character" w:customStyle="1" w:styleId="82">
    <w:name w:val="Заголовок 8 Знак"/>
    <w:uiPriority w:val="99"/>
    <w:rsid w:val="00826C7D"/>
    <w:rPr>
      <w:rFonts w:ascii="Calibri" w:hAnsi="Calibri"/>
      <w:i/>
      <w:sz w:val="24"/>
    </w:rPr>
  </w:style>
  <w:style w:type="character" w:customStyle="1" w:styleId="ad">
    <w:name w:val="Основной текст Знак"/>
    <w:uiPriority w:val="99"/>
    <w:rsid w:val="00826C7D"/>
    <w:rPr>
      <w:sz w:val="24"/>
    </w:rPr>
  </w:style>
  <w:style w:type="character" w:customStyle="1" w:styleId="BodyTextIndent3Char">
    <w:name w:val="Body Text Indent 3 Char"/>
    <w:uiPriority w:val="99"/>
    <w:locked/>
    <w:rsid w:val="00826C7D"/>
    <w:rPr>
      <w:sz w:val="24"/>
    </w:rPr>
  </w:style>
  <w:style w:type="character" w:customStyle="1" w:styleId="14">
    <w:name w:val="Заголовок 1 Знак"/>
    <w:uiPriority w:val="99"/>
    <w:rsid w:val="00826C7D"/>
    <w:rPr>
      <w:b/>
      <w:sz w:val="24"/>
      <w:u w:val="single"/>
    </w:rPr>
  </w:style>
  <w:style w:type="character" w:customStyle="1" w:styleId="23">
    <w:name w:val="Заголовок 2 Знак"/>
    <w:uiPriority w:val="99"/>
    <w:rsid w:val="00826C7D"/>
    <w:rPr>
      <w:rFonts w:eastAsia="Arial Unicode MS"/>
      <w:sz w:val="28"/>
    </w:rPr>
  </w:style>
  <w:style w:type="character" w:customStyle="1" w:styleId="32">
    <w:name w:val="Заголовок 3 Знак"/>
    <w:uiPriority w:val="99"/>
    <w:rsid w:val="00826C7D"/>
    <w:rPr>
      <w:b/>
      <w:sz w:val="24"/>
    </w:rPr>
  </w:style>
  <w:style w:type="character" w:customStyle="1" w:styleId="ae">
    <w:name w:val="Верхний колонтитул Знак"/>
    <w:basedOn w:val="13"/>
    <w:uiPriority w:val="99"/>
    <w:rsid w:val="00826C7D"/>
    <w:rPr>
      <w:rFonts w:cs="Times New Roman"/>
    </w:rPr>
  </w:style>
  <w:style w:type="character" w:customStyle="1" w:styleId="af">
    <w:name w:val="Без интервала Знак"/>
    <w:uiPriority w:val="1"/>
    <w:rsid w:val="00826C7D"/>
    <w:rPr>
      <w:rFonts w:ascii="Calibri" w:hAnsi="Calibri"/>
      <w:sz w:val="22"/>
      <w:lang w:val="ru-RU"/>
    </w:rPr>
  </w:style>
  <w:style w:type="character" w:customStyle="1" w:styleId="apple-converted-space">
    <w:name w:val="apple-converted-space"/>
    <w:basedOn w:val="13"/>
    <w:uiPriority w:val="99"/>
    <w:rsid w:val="00826C7D"/>
    <w:rPr>
      <w:rFonts w:cs="Times New Roman"/>
    </w:rPr>
  </w:style>
  <w:style w:type="character" w:customStyle="1" w:styleId="42">
    <w:name w:val="Заголовок 4 Знак"/>
    <w:uiPriority w:val="99"/>
    <w:rsid w:val="00826C7D"/>
    <w:rPr>
      <w:rFonts w:ascii="Calibri" w:hAnsi="Calibri"/>
      <w:b/>
      <w:sz w:val="28"/>
    </w:rPr>
  </w:style>
  <w:style w:type="character" w:customStyle="1" w:styleId="210">
    <w:name w:val="Основной текст с отступом 2 Знак1"/>
    <w:basedOn w:val="80"/>
    <w:uiPriority w:val="99"/>
    <w:rsid w:val="00826C7D"/>
    <w:rPr>
      <w:rFonts w:cs="Times New Roman"/>
    </w:rPr>
  </w:style>
  <w:style w:type="character" w:customStyle="1" w:styleId="15">
    <w:name w:val="Название Знак1"/>
    <w:uiPriority w:val="99"/>
    <w:rsid w:val="00826C7D"/>
    <w:rPr>
      <w:rFonts w:ascii="Cambria" w:hAnsi="Cambria"/>
      <w:b/>
      <w:kern w:val="1"/>
      <w:sz w:val="32"/>
    </w:rPr>
  </w:style>
  <w:style w:type="character" w:customStyle="1" w:styleId="FontStyle12">
    <w:name w:val="Font Style12"/>
    <w:uiPriority w:val="99"/>
    <w:rsid w:val="00826C7D"/>
    <w:rPr>
      <w:rFonts w:ascii="Times New Roman" w:hAnsi="Times New Roman"/>
      <w:sz w:val="28"/>
    </w:rPr>
  </w:style>
  <w:style w:type="paragraph" w:customStyle="1" w:styleId="af0">
    <w:name w:val="Заголовок"/>
    <w:basedOn w:val="a"/>
    <w:next w:val="af1"/>
    <w:uiPriority w:val="99"/>
    <w:rsid w:val="00826C7D"/>
    <w:pPr>
      <w:keepNext/>
      <w:spacing w:before="240" w:after="120"/>
    </w:pPr>
    <w:rPr>
      <w:rFonts w:ascii="Arial" w:eastAsia="Microsoft YaHei" w:hAnsi="Arial" w:cs="Mangal"/>
      <w:sz w:val="28"/>
      <w:szCs w:val="28"/>
    </w:rPr>
  </w:style>
  <w:style w:type="paragraph" w:styleId="af1">
    <w:name w:val="Body Text"/>
    <w:basedOn w:val="a"/>
    <w:link w:val="16"/>
    <w:uiPriority w:val="99"/>
    <w:rsid w:val="00826C7D"/>
    <w:pPr>
      <w:jc w:val="both"/>
    </w:pPr>
    <w:rPr>
      <w:sz w:val="24"/>
    </w:rPr>
  </w:style>
  <w:style w:type="character" w:customStyle="1" w:styleId="16">
    <w:name w:val="Основной текст Знак1"/>
    <w:basedOn w:val="a0"/>
    <w:link w:val="af1"/>
    <w:uiPriority w:val="99"/>
    <w:locked/>
    <w:rsid w:val="00284999"/>
    <w:rPr>
      <w:rFonts w:cs="Times New Roman"/>
      <w:sz w:val="20"/>
      <w:szCs w:val="20"/>
      <w:lang w:eastAsia="zh-CN"/>
    </w:rPr>
  </w:style>
  <w:style w:type="paragraph" w:styleId="af2">
    <w:name w:val="List"/>
    <w:basedOn w:val="af1"/>
    <w:uiPriority w:val="99"/>
    <w:rsid w:val="00826C7D"/>
    <w:rPr>
      <w:rFonts w:cs="Mangal"/>
    </w:rPr>
  </w:style>
  <w:style w:type="paragraph" w:styleId="af3">
    <w:name w:val="caption"/>
    <w:basedOn w:val="a"/>
    <w:uiPriority w:val="99"/>
    <w:qFormat/>
    <w:rsid w:val="00826C7D"/>
    <w:pPr>
      <w:suppressLineNumbers/>
      <w:spacing w:before="120" w:after="120"/>
    </w:pPr>
    <w:rPr>
      <w:rFonts w:cs="Mangal"/>
      <w:i/>
      <w:iCs/>
      <w:sz w:val="24"/>
      <w:szCs w:val="24"/>
    </w:rPr>
  </w:style>
  <w:style w:type="paragraph" w:customStyle="1" w:styleId="120">
    <w:name w:val="Указатель12"/>
    <w:basedOn w:val="a"/>
    <w:uiPriority w:val="99"/>
    <w:rsid w:val="00826C7D"/>
    <w:pPr>
      <w:suppressLineNumbers/>
    </w:pPr>
    <w:rPr>
      <w:rFonts w:cs="Mangal"/>
    </w:rPr>
  </w:style>
  <w:style w:type="paragraph" w:customStyle="1" w:styleId="43">
    <w:name w:val="Название объекта4"/>
    <w:basedOn w:val="a"/>
    <w:uiPriority w:val="99"/>
    <w:rsid w:val="00826C7D"/>
    <w:pPr>
      <w:suppressLineNumbers/>
      <w:spacing w:before="120" w:after="120"/>
    </w:pPr>
    <w:rPr>
      <w:rFonts w:cs="Mangal"/>
      <w:i/>
      <w:iCs/>
      <w:sz w:val="24"/>
      <w:szCs w:val="24"/>
    </w:rPr>
  </w:style>
  <w:style w:type="paragraph" w:customStyle="1" w:styleId="111">
    <w:name w:val="Указатель11"/>
    <w:basedOn w:val="a"/>
    <w:uiPriority w:val="99"/>
    <w:rsid w:val="00826C7D"/>
    <w:pPr>
      <w:suppressLineNumbers/>
    </w:pPr>
    <w:rPr>
      <w:rFonts w:cs="Mangal"/>
    </w:rPr>
  </w:style>
  <w:style w:type="paragraph" w:customStyle="1" w:styleId="33">
    <w:name w:val="Название объекта3"/>
    <w:basedOn w:val="a"/>
    <w:uiPriority w:val="99"/>
    <w:rsid w:val="00826C7D"/>
    <w:pPr>
      <w:suppressLineNumbers/>
      <w:spacing w:before="120" w:after="120"/>
    </w:pPr>
    <w:rPr>
      <w:rFonts w:cs="Mangal"/>
      <w:i/>
      <w:iCs/>
      <w:sz w:val="24"/>
      <w:szCs w:val="24"/>
    </w:rPr>
  </w:style>
  <w:style w:type="paragraph" w:customStyle="1" w:styleId="100">
    <w:name w:val="Указатель10"/>
    <w:basedOn w:val="a"/>
    <w:uiPriority w:val="99"/>
    <w:rsid w:val="00826C7D"/>
    <w:pPr>
      <w:suppressLineNumbers/>
    </w:pPr>
    <w:rPr>
      <w:rFonts w:cs="Mangal"/>
    </w:rPr>
  </w:style>
  <w:style w:type="paragraph" w:customStyle="1" w:styleId="73">
    <w:name w:val="Название7"/>
    <w:basedOn w:val="a"/>
    <w:next w:val="af4"/>
    <w:uiPriority w:val="99"/>
    <w:rsid w:val="00826C7D"/>
    <w:pPr>
      <w:suppressAutoHyphens w:val="0"/>
      <w:jc w:val="center"/>
    </w:pPr>
    <w:rPr>
      <w:b/>
      <w:bCs/>
      <w:sz w:val="24"/>
    </w:rPr>
  </w:style>
  <w:style w:type="paragraph" w:customStyle="1" w:styleId="90">
    <w:name w:val="Указатель9"/>
    <w:basedOn w:val="a"/>
    <w:uiPriority w:val="99"/>
    <w:rsid w:val="00826C7D"/>
    <w:pPr>
      <w:suppressLineNumbers/>
    </w:pPr>
    <w:rPr>
      <w:rFonts w:cs="Mangal"/>
    </w:rPr>
  </w:style>
  <w:style w:type="paragraph" w:customStyle="1" w:styleId="60">
    <w:name w:val="Название6"/>
    <w:basedOn w:val="a"/>
    <w:uiPriority w:val="99"/>
    <w:rsid w:val="00826C7D"/>
    <w:pPr>
      <w:suppressLineNumbers/>
      <w:spacing w:before="120" w:after="120"/>
    </w:pPr>
    <w:rPr>
      <w:rFonts w:cs="Mangal"/>
      <w:i/>
      <w:iCs/>
      <w:sz w:val="24"/>
      <w:szCs w:val="24"/>
    </w:rPr>
  </w:style>
  <w:style w:type="paragraph" w:customStyle="1" w:styleId="83">
    <w:name w:val="Указатель8"/>
    <w:basedOn w:val="a"/>
    <w:uiPriority w:val="99"/>
    <w:rsid w:val="00826C7D"/>
    <w:pPr>
      <w:suppressLineNumbers/>
    </w:pPr>
    <w:rPr>
      <w:rFonts w:cs="Mangal"/>
    </w:rPr>
  </w:style>
  <w:style w:type="paragraph" w:customStyle="1" w:styleId="50">
    <w:name w:val="Название5"/>
    <w:basedOn w:val="a"/>
    <w:uiPriority w:val="99"/>
    <w:rsid w:val="00826C7D"/>
    <w:pPr>
      <w:suppressLineNumbers/>
      <w:spacing w:before="120" w:after="120"/>
    </w:pPr>
    <w:rPr>
      <w:rFonts w:cs="Mangal"/>
      <w:i/>
      <w:iCs/>
      <w:sz w:val="24"/>
      <w:szCs w:val="24"/>
    </w:rPr>
  </w:style>
  <w:style w:type="paragraph" w:customStyle="1" w:styleId="74">
    <w:name w:val="Указатель7"/>
    <w:basedOn w:val="a"/>
    <w:uiPriority w:val="99"/>
    <w:rsid w:val="00826C7D"/>
    <w:pPr>
      <w:suppressLineNumbers/>
    </w:pPr>
    <w:rPr>
      <w:rFonts w:cs="Mangal"/>
    </w:rPr>
  </w:style>
  <w:style w:type="paragraph" w:customStyle="1" w:styleId="44">
    <w:name w:val="Название4"/>
    <w:basedOn w:val="a"/>
    <w:uiPriority w:val="99"/>
    <w:rsid w:val="00826C7D"/>
    <w:pPr>
      <w:suppressLineNumbers/>
      <w:spacing w:before="120" w:after="120"/>
    </w:pPr>
    <w:rPr>
      <w:rFonts w:cs="Mangal"/>
      <w:i/>
      <w:iCs/>
      <w:sz w:val="24"/>
      <w:szCs w:val="24"/>
    </w:rPr>
  </w:style>
  <w:style w:type="paragraph" w:customStyle="1" w:styleId="61">
    <w:name w:val="Указатель6"/>
    <w:basedOn w:val="a"/>
    <w:uiPriority w:val="99"/>
    <w:rsid w:val="00826C7D"/>
    <w:pPr>
      <w:suppressLineNumbers/>
    </w:pPr>
    <w:rPr>
      <w:rFonts w:cs="Mangal"/>
    </w:rPr>
  </w:style>
  <w:style w:type="paragraph" w:customStyle="1" w:styleId="24">
    <w:name w:val="Название объекта2"/>
    <w:basedOn w:val="a"/>
    <w:uiPriority w:val="99"/>
    <w:rsid w:val="00826C7D"/>
    <w:pPr>
      <w:suppressLineNumbers/>
      <w:spacing w:before="120" w:after="120"/>
    </w:pPr>
    <w:rPr>
      <w:rFonts w:cs="Mangal"/>
      <w:i/>
      <w:iCs/>
      <w:sz w:val="24"/>
      <w:szCs w:val="24"/>
    </w:rPr>
  </w:style>
  <w:style w:type="paragraph" w:customStyle="1" w:styleId="51">
    <w:name w:val="Указатель5"/>
    <w:basedOn w:val="a"/>
    <w:uiPriority w:val="99"/>
    <w:rsid w:val="00826C7D"/>
    <w:pPr>
      <w:suppressLineNumbers/>
    </w:pPr>
    <w:rPr>
      <w:rFonts w:cs="Mangal"/>
    </w:rPr>
  </w:style>
  <w:style w:type="paragraph" w:customStyle="1" w:styleId="34">
    <w:name w:val="Название3"/>
    <w:basedOn w:val="a"/>
    <w:uiPriority w:val="99"/>
    <w:rsid w:val="00826C7D"/>
    <w:pPr>
      <w:suppressLineNumbers/>
      <w:spacing w:before="120" w:after="120"/>
    </w:pPr>
    <w:rPr>
      <w:rFonts w:cs="Mangal"/>
      <w:i/>
      <w:iCs/>
      <w:sz w:val="24"/>
      <w:szCs w:val="24"/>
    </w:rPr>
  </w:style>
  <w:style w:type="paragraph" w:customStyle="1" w:styleId="45">
    <w:name w:val="Указатель4"/>
    <w:basedOn w:val="a"/>
    <w:uiPriority w:val="99"/>
    <w:rsid w:val="00826C7D"/>
    <w:pPr>
      <w:suppressLineNumbers/>
    </w:pPr>
    <w:rPr>
      <w:rFonts w:cs="Mangal"/>
    </w:rPr>
  </w:style>
  <w:style w:type="paragraph" w:customStyle="1" w:styleId="17">
    <w:name w:val="Название объекта1"/>
    <w:basedOn w:val="a"/>
    <w:next w:val="af4"/>
    <w:uiPriority w:val="99"/>
    <w:rsid w:val="00826C7D"/>
    <w:pPr>
      <w:jc w:val="center"/>
    </w:pPr>
    <w:rPr>
      <w:b/>
      <w:bCs/>
      <w:sz w:val="24"/>
    </w:rPr>
  </w:style>
  <w:style w:type="paragraph" w:customStyle="1" w:styleId="35">
    <w:name w:val="Указатель3"/>
    <w:basedOn w:val="a"/>
    <w:uiPriority w:val="99"/>
    <w:rsid w:val="00826C7D"/>
    <w:pPr>
      <w:suppressLineNumbers/>
    </w:pPr>
    <w:rPr>
      <w:rFonts w:cs="Mangal"/>
    </w:rPr>
  </w:style>
  <w:style w:type="paragraph" w:customStyle="1" w:styleId="25">
    <w:name w:val="Название2"/>
    <w:basedOn w:val="a"/>
    <w:uiPriority w:val="99"/>
    <w:rsid w:val="00826C7D"/>
    <w:pPr>
      <w:suppressLineNumbers/>
      <w:spacing w:before="120" w:after="120"/>
    </w:pPr>
    <w:rPr>
      <w:rFonts w:cs="Mangal"/>
      <w:i/>
      <w:iCs/>
      <w:sz w:val="24"/>
      <w:szCs w:val="24"/>
    </w:rPr>
  </w:style>
  <w:style w:type="paragraph" w:customStyle="1" w:styleId="26">
    <w:name w:val="Указатель2"/>
    <w:basedOn w:val="a"/>
    <w:uiPriority w:val="99"/>
    <w:rsid w:val="00826C7D"/>
    <w:pPr>
      <w:suppressLineNumbers/>
    </w:pPr>
    <w:rPr>
      <w:rFonts w:cs="Mangal"/>
    </w:rPr>
  </w:style>
  <w:style w:type="paragraph" w:customStyle="1" w:styleId="18">
    <w:name w:val="Название1"/>
    <w:basedOn w:val="a"/>
    <w:uiPriority w:val="99"/>
    <w:rsid w:val="00826C7D"/>
    <w:pPr>
      <w:suppressLineNumbers/>
      <w:spacing w:before="120" w:after="120"/>
    </w:pPr>
    <w:rPr>
      <w:rFonts w:cs="Mangal"/>
      <w:i/>
      <w:iCs/>
      <w:sz w:val="24"/>
      <w:szCs w:val="24"/>
    </w:rPr>
  </w:style>
  <w:style w:type="paragraph" w:customStyle="1" w:styleId="19">
    <w:name w:val="Указатель1"/>
    <w:basedOn w:val="a"/>
    <w:uiPriority w:val="99"/>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hAnsi="Arial" w:cs="Arial"/>
      <w:sz w:val="20"/>
      <w:szCs w:val="20"/>
      <w:lang w:eastAsia="zh-CN"/>
    </w:rPr>
  </w:style>
  <w:style w:type="paragraph" w:styleId="af4">
    <w:name w:val="Subtitle"/>
    <w:basedOn w:val="af0"/>
    <w:next w:val="af1"/>
    <w:link w:val="af5"/>
    <w:uiPriority w:val="99"/>
    <w:qFormat/>
    <w:rsid w:val="00826C7D"/>
    <w:pPr>
      <w:jc w:val="center"/>
    </w:pPr>
    <w:rPr>
      <w:rFonts w:cs="Times New Roman"/>
      <w:i/>
      <w:iCs/>
    </w:rPr>
  </w:style>
  <w:style w:type="character" w:customStyle="1" w:styleId="af5">
    <w:name w:val="Подзаголовок Знак"/>
    <w:basedOn w:val="a0"/>
    <w:link w:val="af4"/>
    <w:uiPriority w:val="99"/>
    <w:locked/>
    <w:rsid w:val="002A65CC"/>
    <w:rPr>
      <w:rFonts w:ascii="Arial" w:eastAsia="Microsoft YaHei" w:hAnsi="Arial" w:cs="Times New Roman"/>
      <w:i/>
      <w:sz w:val="28"/>
      <w:lang w:eastAsia="zh-CN"/>
    </w:rPr>
  </w:style>
  <w:style w:type="paragraph" w:styleId="af6">
    <w:name w:val="Body Text Indent"/>
    <w:basedOn w:val="a"/>
    <w:link w:val="1a"/>
    <w:uiPriority w:val="99"/>
    <w:rsid w:val="00826C7D"/>
    <w:pPr>
      <w:ind w:right="-766" w:firstLine="720"/>
      <w:jc w:val="both"/>
    </w:pPr>
    <w:rPr>
      <w:sz w:val="24"/>
    </w:rPr>
  </w:style>
  <w:style w:type="character" w:customStyle="1" w:styleId="1a">
    <w:name w:val="Основной текст с отступом Знак1"/>
    <w:basedOn w:val="a0"/>
    <w:link w:val="af6"/>
    <w:uiPriority w:val="99"/>
    <w:locked/>
    <w:rsid w:val="00284999"/>
    <w:rPr>
      <w:rFonts w:cs="Times New Roman"/>
      <w:sz w:val="20"/>
      <w:szCs w:val="20"/>
      <w:lang w:eastAsia="zh-CN"/>
    </w:rPr>
  </w:style>
  <w:style w:type="paragraph" w:customStyle="1" w:styleId="220">
    <w:name w:val="Основной текст с отступом 22"/>
    <w:basedOn w:val="a"/>
    <w:uiPriority w:val="99"/>
    <w:rsid w:val="00826C7D"/>
    <w:pPr>
      <w:ind w:right="-1050" w:firstLine="720"/>
      <w:jc w:val="both"/>
    </w:pPr>
    <w:rPr>
      <w:sz w:val="24"/>
    </w:rPr>
  </w:style>
  <w:style w:type="paragraph" w:customStyle="1" w:styleId="310">
    <w:name w:val="Основной текст с отступом 31"/>
    <w:basedOn w:val="a"/>
    <w:uiPriority w:val="99"/>
    <w:rsid w:val="00826C7D"/>
    <w:pPr>
      <w:ind w:left="780"/>
      <w:jc w:val="both"/>
    </w:pPr>
    <w:rPr>
      <w:sz w:val="24"/>
    </w:rPr>
  </w:style>
  <w:style w:type="paragraph" w:customStyle="1" w:styleId="af7">
    <w:name w:val="Знак"/>
    <w:basedOn w:val="a"/>
    <w:uiPriority w:val="99"/>
    <w:rsid w:val="00826C7D"/>
    <w:pPr>
      <w:widowControl w:val="0"/>
      <w:spacing w:after="160" w:line="240" w:lineRule="exact"/>
      <w:jc w:val="right"/>
    </w:pPr>
    <w:rPr>
      <w:lang w:val="en-GB"/>
    </w:rPr>
  </w:style>
  <w:style w:type="paragraph" w:styleId="af8">
    <w:name w:val="header"/>
    <w:basedOn w:val="a"/>
    <w:link w:val="1b"/>
    <w:uiPriority w:val="99"/>
    <w:rsid w:val="00826C7D"/>
    <w:pPr>
      <w:tabs>
        <w:tab w:val="center" w:pos="4677"/>
        <w:tab w:val="right" w:pos="9355"/>
      </w:tabs>
    </w:pPr>
  </w:style>
  <w:style w:type="character" w:customStyle="1" w:styleId="1b">
    <w:name w:val="Верхний колонтитул Знак1"/>
    <w:basedOn w:val="a0"/>
    <w:link w:val="af8"/>
    <w:uiPriority w:val="99"/>
    <w:semiHidden/>
    <w:locked/>
    <w:rsid w:val="00284999"/>
    <w:rPr>
      <w:rFonts w:cs="Times New Roman"/>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6C7D"/>
    <w:rPr>
      <w:rFonts w:ascii="Verdana" w:hAnsi="Verdana" w:cs="Verdana"/>
      <w:lang w:val="en-US"/>
    </w:rPr>
  </w:style>
  <w:style w:type="paragraph" w:customStyle="1" w:styleId="1c">
    <w:name w:val="Без интервала1"/>
    <w:uiPriority w:val="99"/>
    <w:rsid w:val="00826C7D"/>
    <w:pPr>
      <w:suppressAutoHyphens/>
    </w:pPr>
    <w:rPr>
      <w:rFonts w:ascii="Calibri" w:hAnsi="Calibri" w:cs="Calibri"/>
      <w:lang w:eastAsia="zh-CN"/>
    </w:rPr>
  </w:style>
  <w:style w:type="paragraph" w:customStyle="1" w:styleId="211">
    <w:name w:val="Основной текст с отступом 21"/>
    <w:basedOn w:val="a"/>
    <w:uiPriority w:val="99"/>
    <w:rsid w:val="00826C7D"/>
    <w:pPr>
      <w:ind w:firstLine="851"/>
      <w:jc w:val="both"/>
    </w:pPr>
    <w:rPr>
      <w:sz w:val="24"/>
    </w:rPr>
  </w:style>
  <w:style w:type="paragraph" w:styleId="af9">
    <w:name w:val="No Spacing"/>
    <w:link w:val="1d"/>
    <w:uiPriority w:val="99"/>
    <w:qFormat/>
    <w:rsid w:val="00826C7D"/>
    <w:pPr>
      <w:suppressAutoHyphens/>
    </w:pPr>
    <w:rPr>
      <w:rFonts w:ascii="Calibri" w:hAnsi="Calibri" w:cs="Calibri"/>
      <w:lang w:eastAsia="zh-CN"/>
    </w:rPr>
  </w:style>
  <w:style w:type="paragraph" w:customStyle="1" w:styleId="1e">
    <w:name w:val="Обычный1"/>
    <w:uiPriority w:val="99"/>
    <w:rsid w:val="00826C7D"/>
    <w:pPr>
      <w:widowControl w:val="0"/>
      <w:suppressAutoHyphens/>
      <w:spacing w:line="300" w:lineRule="auto"/>
      <w:ind w:firstLine="720"/>
      <w:jc w:val="both"/>
    </w:pPr>
    <w:rPr>
      <w:szCs w:val="20"/>
      <w:lang w:eastAsia="zh-CN"/>
    </w:rPr>
  </w:style>
  <w:style w:type="paragraph" w:customStyle="1" w:styleId="ConsNormal">
    <w:name w:val="ConsNormal"/>
    <w:uiPriority w:val="99"/>
    <w:rsid w:val="00826C7D"/>
    <w:pPr>
      <w:widowControl w:val="0"/>
      <w:suppressAutoHyphens/>
      <w:snapToGrid w:val="0"/>
      <w:ind w:firstLine="720"/>
    </w:pPr>
    <w:rPr>
      <w:rFonts w:ascii="Arial" w:hAnsi="Arial" w:cs="Arial"/>
      <w:szCs w:val="20"/>
      <w:lang w:eastAsia="zh-CN"/>
    </w:rPr>
  </w:style>
  <w:style w:type="paragraph" w:styleId="afa">
    <w:name w:val="Normal (Web)"/>
    <w:aliases w:val="Обычный (веб)1,Обычный (веб) Знак,Обычный (веб) Знак1,Обычный (веб) Знак Знак"/>
    <w:basedOn w:val="a"/>
    <w:rsid w:val="00826C7D"/>
    <w:pPr>
      <w:spacing w:after="240"/>
    </w:pPr>
    <w:rPr>
      <w:sz w:val="24"/>
      <w:szCs w:val="24"/>
    </w:rPr>
  </w:style>
  <w:style w:type="paragraph" w:customStyle="1" w:styleId="ConsPlusNonformat">
    <w:name w:val="ConsPlusNonformat"/>
    <w:rsid w:val="00826C7D"/>
    <w:pPr>
      <w:suppressAutoHyphens/>
      <w:autoSpaceDE w:val="0"/>
    </w:pPr>
    <w:rPr>
      <w:rFonts w:ascii="Courier New" w:hAnsi="Courier New" w:cs="Courier New"/>
      <w:sz w:val="20"/>
      <w:szCs w:val="20"/>
      <w:lang w:eastAsia="zh-CN"/>
    </w:rPr>
  </w:style>
  <w:style w:type="paragraph" w:customStyle="1" w:styleId="212">
    <w:name w:val="Основной текст 21"/>
    <w:basedOn w:val="a"/>
    <w:uiPriority w:val="99"/>
    <w:rsid w:val="00826C7D"/>
    <w:pPr>
      <w:jc w:val="both"/>
    </w:pPr>
    <w:rPr>
      <w:sz w:val="24"/>
    </w:rPr>
  </w:style>
  <w:style w:type="paragraph" w:customStyle="1" w:styleId="afb">
    <w:name w:val="Знак Знак Знак Знак Знак Знак"/>
    <w:basedOn w:val="a"/>
    <w:uiPriority w:val="99"/>
    <w:rsid w:val="00826C7D"/>
    <w:pPr>
      <w:spacing w:after="160" w:line="240" w:lineRule="exact"/>
    </w:pPr>
    <w:rPr>
      <w:rFonts w:ascii="Verdana" w:hAnsi="Verdana" w:cs="Verdana"/>
      <w:lang w:val="en-US"/>
    </w:rPr>
  </w:style>
  <w:style w:type="paragraph" w:customStyle="1" w:styleId="1f">
    <w:name w:val="Текст1"/>
    <w:basedOn w:val="a"/>
    <w:uiPriority w:val="99"/>
    <w:rsid w:val="00826C7D"/>
    <w:rPr>
      <w:rFonts w:ascii="Courier New" w:hAnsi="Courier New" w:cs="Courier New"/>
    </w:rPr>
  </w:style>
  <w:style w:type="paragraph" w:styleId="afc">
    <w:name w:val="List Paragraph"/>
    <w:basedOn w:val="a"/>
    <w:link w:val="afd"/>
    <w:uiPriority w:val="34"/>
    <w:qFormat/>
    <w:rsid w:val="00826C7D"/>
    <w:pPr>
      <w:ind w:left="720"/>
    </w:pPr>
    <w:rPr>
      <w:sz w:val="24"/>
    </w:rPr>
  </w:style>
  <w:style w:type="paragraph" w:customStyle="1" w:styleId="320">
    <w:name w:val="Основной текст с отступом 32"/>
    <w:basedOn w:val="a"/>
    <w:uiPriority w:val="99"/>
    <w:rsid w:val="00826C7D"/>
    <w:pPr>
      <w:tabs>
        <w:tab w:val="left" w:pos="9639"/>
      </w:tabs>
      <w:spacing w:line="360" w:lineRule="auto"/>
      <w:ind w:firstLine="720"/>
      <w:jc w:val="both"/>
    </w:pPr>
    <w:rPr>
      <w:sz w:val="28"/>
    </w:rPr>
  </w:style>
  <w:style w:type="paragraph" w:customStyle="1" w:styleId="note">
    <w:name w:val="note"/>
    <w:basedOn w:val="a"/>
    <w:uiPriority w:val="99"/>
    <w:rsid w:val="00826C7D"/>
    <w:pPr>
      <w:spacing w:before="280" w:after="280"/>
    </w:pPr>
    <w:rPr>
      <w:sz w:val="24"/>
      <w:szCs w:val="24"/>
    </w:rPr>
  </w:style>
  <w:style w:type="paragraph" w:styleId="afe">
    <w:name w:val="footer"/>
    <w:basedOn w:val="a"/>
    <w:link w:val="1f0"/>
    <w:uiPriority w:val="99"/>
    <w:rsid w:val="00826C7D"/>
    <w:pPr>
      <w:tabs>
        <w:tab w:val="center" w:pos="4677"/>
        <w:tab w:val="right" w:pos="9355"/>
      </w:tabs>
    </w:pPr>
  </w:style>
  <w:style w:type="character" w:customStyle="1" w:styleId="1f0">
    <w:name w:val="Нижний колонтитул Знак1"/>
    <w:basedOn w:val="a0"/>
    <w:link w:val="afe"/>
    <w:uiPriority w:val="99"/>
    <w:semiHidden/>
    <w:locked/>
    <w:rsid w:val="00284999"/>
    <w:rPr>
      <w:rFonts w:cs="Times New Roman"/>
      <w:sz w:val="20"/>
      <w:szCs w:val="20"/>
      <w:lang w:eastAsia="zh-CN"/>
    </w:rPr>
  </w:style>
  <w:style w:type="paragraph" w:styleId="aff">
    <w:name w:val="endnote text"/>
    <w:basedOn w:val="a"/>
    <w:link w:val="1f1"/>
    <w:uiPriority w:val="99"/>
    <w:rsid w:val="00826C7D"/>
  </w:style>
  <w:style w:type="character" w:customStyle="1" w:styleId="1f1">
    <w:name w:val="Текст концевой сноски Знак1"/>
    <w:basedOn w:val="a0"/>
    <w:link w:val="aff"/>
    <w:uiPriority w:val="99"/>
    <w:semiHidden/>
    <w:locked/>
    <w:rsid w:val="00284999"/>
    <w:rPr>
      <w:rFonts w:cs="Times New Roman"/>
      <w:sz w:val="20"/>
      <w:szCs w:val="20"/>
      <w:lang w:eastAsia="zh-CN"/>
    </w:rPr>
  </w:style>
  <w:style w:type="paragraph" w:styleId="aff0">
    <w:name w:val="footnote text"/>
    <w:basedOn w:val="a"/>
    <w:link w:val="1f2"/>
    <w:uiPriority w:val="99"/>
    <w:rsid w:val="00826C7D"/>
  </w:style>
  <w:style w:type="character" w:customStyle="1" w:styleId="1f2">
    <w:name w:val="Текст сноски Знак1"/>
    <w:basedOn w:val="a0"/>
    <w:link w:val="aff0"/>
    <w:uiPriority w:val="99"/>
    <w:locked/>
    <w:rsid w:val="00284999"/>
    <w:rPr>
      <w:rFonts w:cs="Times New Roman"/>
      <w:sz w:val="20"/>
      <w:szCs w:val="20"/>
      <w:lang w:eastAsia="zh-CN"/>
    </w:rPr>
  </w:style>
  <w:style w:type="paragraph" w:customStyle="1" w:styleId="221">
    <w:name w:val="Основной текст 22"/>
    <w:basedOn w:val="a"/>
    <w:uiPriority w:val="99"/>
    <w:rsid w:val="00826C7D"/>
    <w:pPr>
      <w:spacing w:after="120" w:line="480" w:lineRule="auto"/>
    </w:pPr>
  </w:style>
  <w:style w:type="paragraph" w:customStyle="1" w:styleId="aff1">
    <w:name w:val="Последний абзац"/>
    <w:basedOn w:val="221"/>
    <w:link w:val="aff2"/>
    <w:uiPriority w:val="99"/>
    <w:qFormat/>
    <w:rsid w:val="00826C7D"/>
    <w:pPr>
      <w:widowControl w:val="0"/>
      <w:spacing w:after="0" w:line="360" w:lineRule="auto"/>
      <w:ind w:firstLine="709"/>
      <w:jc w:val="both"/>
    </w:pPr>
    <w:rPr>
      <w:sz w:val="28"/>
      <w:szCs w:val="22"/>
    </w:rPr>
  </w:style>
  <w:style w:type="paragraph" w:customStyle="1" w:styleId="112">
    <w:name w:val="Обычный11"/>
    <w:uiPriority w:val="99"/>
    <w:rsid w:val="00826C7D"/>
    <w:pPr>
      <w:widowControl w:val="0"/>
      <w:suppressAutoHyphens/>
      <w:snapToGrid w:val="0"/>
      <w:spacing w:line="300" w:lineRule="auto"/>
      <w:ind w:firstLine="720"/>
      <w:jc w:val="both"/>
    </w:pPr>
    <w:rPr>
      <w:rFonts w:ascii="Calibri" w:hAnsi="Calibri" w:cs="Calibri"/>
      <w:lang w:eastAsia="zh-CN"/>
    </w:rPr>
  </w:style>
  <w:style w:type="paragraph" w:customStyle="1" w:styleId="52">
    <w:name w:val="Знак5 Знак Знак Знак"/>
    <w:basedOn w:val="a"/>
    <w:uiPriority w:val="99"/>
    <w:rsid w:val="00826C7D"/>
    <w:pPr>
      <w:spacing w:after="160" w:line="240" w:lineRule="exact"/>
    </w:pPr>
    <w:rPr>
      <w:rFonts w:ascii="Verdana" w:hAnsi="Verdana" w:cs="Verdana"/>
      <w:lang w:val="en-US"/>
    </w:rPr>
  </w:style>
  <w:style w:type="paragraph" w:customStyle="1" w:styleId="BodyTextIndent31">
    <w:name w:val="Body Text Indent 31"/>
    <w:basedOn w:val="a"/>
    <w:uiPriority w:val="99"/>
    <w:rsid w:val="00826C7D"/>
    <w:pPr>
      <w:spacing w:line="360" w:lineRule="auto"/>
      <w:ind w:firstLine="709"/>
      <w:jc w:val="both"/>
    </w:pPr>
    <w:rPr>
      <w:sz w:val="28"/>
    </w:rPr>
  </w:style>
  <w:style w:type="paragraph" w:customStyle="1" w:styleId="1f3">
    <w:name w:val="Знак1"/>
    <w:basedOn w:val="a"/>
    <w:uiPriority w:val="99"/>
    <w:rsid w:val="00826C7D"/>
    <w:rPr>
      <w:rFonts w:ascii="Verdana" w:hAnsi="Verdana" w:cs="Verdana"/>
      <w:lang w:val="en-US"/>
    </w:rPr>
  </w:style>
  <w:style w:type="paragraph" w:customStyle="1" w:styleId="1f4">
    <w:name w:val="1"/>
    <w:basedOn w:val="a"/>
    <w:uiPriority w:val="99"/>
    <w:rsid w:val="00826C7D"/>
    <w:pPr>
      <w:spacing w:after="160" w:line="240" w:lineRule="exact"/>
    </w:pPr>
  </w:style>
  <w:style w:type="paragraph" w:customStyle="1" w:styleId="atlp">
    <w:name w:val="atl_p"/>
    <w:basedOn w:val="a"/>
    <w:rsid w:val="00826C7D"/>
    <w:pPr>
      <w:spacing w:before="280" w:after="280"/>
    </w:pPr>
    <w:rPr>
      <w:sz w:val="24"/>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uiPriority w:val="99"/>
    <w:rsid w:val="00826C7D"/>
    <w:pPr>
      <w:spacing w:before="280" w:after="280"/>
    </w:pPr>
    <w:rPr>
      <w:sz w:val="24"/>
      <w:szCs w:val="24"/>
    </w:rPr>
  </w:style>
  <w:style w:type="paragraph" w:customStyle="1" w:styleId="a00">
    <w:name w:val="a0"/>
    <w:basedOn w:val="a"/>
    <w:uiPriority w:val="99"/>
    <w:rsid w:val="00826C7D"/>
    <w:pPr>
      <w:spacing w:before="280" w:after="280"/>
    </w:pPr>
    <w:rPr>
      <w:sz w:val="24"/>
      <w:szCs w:val="24"/>
    </w:rPr>
  </w:style>
  <w:style w:type="paragraph" w:customStyle="1" w:styleId="aff3">
    <w:name w:val="Содержимое таблицы"/>
    <w:basedOn w:val="a"/>
    <w:uiPriority w:val="99"/>
    <w:rsid w:val="00826C7D"/>
    <w:pPr>
      <w:suppressLineNumbers/>
    </w:pPr>
  </w:style>
  <w:style w:type="paragraph" w:customStyle="1" w:styleId="aff4">
    <w:name w:val="Заголовок таблицы"/>
    <w:basedOn w:val="aff3"/>
    <w:uiPriority w:val="99"/>
    <w:rsid w:val="00826C7D"/>
    <w:pPr>
      <w:jc w:val="center"/>
    </w:pPr>
    <w:rPr>
      <w:b/>
      <w:bCs/>
    </w:rPr>
  </w:style>
  <w:style w:type="paragraph" w:customStyle="1" w:styleId="aff5">
    <w:name w:val="Содержимое врезки"/>
    <w:basedOn w:val="af1"/>
    <w:uiPriority w:val="99"/>
    <w:rsid w:val="00826C7D"/>
  </w:style>
  <w:style w:type="paragraph" w:customStyle="1" w:styleId="230">
    <w:name w:val="Основной текст с отступом 23"/>
    <w:basedOn w:val="a"/>
    <w:uiPriority w:val="99"/>
    <w:rsid w:val="00826C7D"/>
    <w:pPr>
      <w:spacing w:after="120" w:line="480" w:lineRule="auto"/>
      <w:ind w:left="283"/>
    </w:pPr>
  </w:style>
  <w:style w:type="paragraph" w:customStyle="1" w:styleId="321">
    <w:name w:val="Основной текст с отступом 321"/>
    <w:basedOn w:val="a"/>
    <w:uiPriority w:val="99"/>
    <w:rsid w:val="00826C7D"/>
    <w:pPr>
      <w:spacing w:after="120"/>
      <w:ind w:left="283"/>
    </w:pPr>
    <w:rPr>
      <w:sz w:val="16"/>
      <w:szCs w:val="16"/>
    </w:rPr>
  </w:style>
  <w:style w:type="paragraph" w:customStyle="1" w:styleId="240">
    <w:name w:val="Основной текст с отступом 24"/>
    <w:basedOn w:val="a"/>
    <w:uiPriority w:val="99"/>
    <w:rsid w:val="00826C7D"/>
    <w:pPr>
      <w:spacing w:after="120" w:line="480" w:lineRule="auto"/>
      <w:ind w:left="283"/>
    </w:pPr>
  </w:style>
  <w:style w:type="paragraph" w:customStyle="1" w:styleId="250">
    <w:name w:val="Основной текст с отступом 25"/>
    <w:basedOn w:val="a"/>
    <w:uiPriority w:val="99"/>
    <w:rsid w:val="00826C7D"/>
    <w:pPr>
      <w:spacing w:after="120" w:line="480" w:lineRule="auto"/>
      <w:ind w:left="283"/>
    </w:pPr>
  </w:style>
  <w:style w:type="paragraph" w:customStyle="1" w:styleId="231">
    <w:name w:val="Основной текст 23"/>
    <w:basedOn w:val="a"/>
    <w:uiPriority w:val="99"/>
    <w:rsid w:val="00826C7D"/>
    <w:pPr>
      <w:suppressAutoHyphens w:val="0"/>
      <w:spacing w:after="120" w:line="480" w:lineRule="auto"/>
    </w:pPr>
  </w:style>
  <w:style w:type="paragraph" w:customStyle="1" w:styleId="260">
    <w:name w:val="Основной текст с отступом 26"/>
    <w:basedOn w:val="a"/>
    <w:uiPriority w:val="99"/>
    <w:rsid w:val="00826C7D"/>
    <w:pPr>
      <w:spacing w:after="120" w:line="480" w:lineRule="auto"/>
      <w:ind w:left="283"/>
    </w:pPr>
  </w:style>
  <w:style w:type="paragraph" w:customStyle="1" w:styleId="Standard">
    <w:name w:val="Standard"/>
    <w:uiPriority w:val="99"/>
    <w:rsid w:val="000C7967"/>
    <w:pPr>
      <w:widowControl w:val="0"/>
      <w:suppressAutoHyphens/>
      <w:autoSpaceDN w:val="0"/>
      <w:textAlignment w:val="baseline"/>
    </w:pPr>
    <w:rPr>
      <w:rFonts w:cs="Tahoma"/>
      <w:kern w:val="3"/>
      <w:sz w:val="24"/>
      <w:szCs w:val="24"/>
      <w:lang w:val="de-DE" w:eastAsia="ja-JP" w:bidi="fa-IR"/>
    </w:rPr>
  </w:style>
  <w:style w:type="paragraph" w:styleId="27">
    <w:name w:val="Body Text Indent 2"/>
    <w:basedOn w:val="a"/>
    <w:link w:val="28"/>
    <w:uiPriority w:val="99"/>
    <w:semiHidden/>
    <w:rsid w:val="000E7694"/>
    <w:pPr>
      <w:spacing w:after="120" w:line="480" w:lineRule="auto"/>
      <w:ind w:left="283"/>
    </w:pPr>
    <w:rPr>
      <w:sz w:val="24"/>
    </w:rPr>
  </w:style>
  <w:style w:type="character" w:customStyle="1" w:styleId="28">
    <w:name w:val="Основной текст с отступом 2 Знак"/>
    <w:basedOn w:val="a0"/>
    <w:link w:val="27"/>
    <w:uiPriority w:val="99"/>
    <w:locked/>
    <w:rsid w:val="00284999"/>
    <w:rPr>
      <w:rFonts w:cs="Times New Roman"/>
      <w:sz w:val="20"/>
      <w:szCs w:val="20"/>
      <w:lang w:eastAsia="zh-CN"/>
    </w:rPr>
  </w:style>
  <w:style w:type="character" w:customStyle="1" w:styleId="222">
    <w:name w:val="Основной текст с отступом 2 Знак2"/>
    <w:uiPriority w:val="99"/>
    <w:semiHidden/>
    <w:rsid w:val="000E7694"/>
    <w:rPr>
      <w:lang w:eastAsia="zh-CN"/>
    </w:rPr>
  </w:style>
  <w:style w:type="paragraph" w:styleId="36">
    <w:name w:val="Body Text Indent 3"/>
    <w:basedOn w:val="a"/>
    <w:link w:val="37"/>
    <w:uiPriority w:val="99"/>
    <w:semiHidden/>
    <w:rsid w:val="000E7694"/>
    <w:pPr>
      <w:spacing w:after="120"/>
      <w:ind w:left="283"/>
    </w:pPr>
    <w:rPr>
      <w:sz w:val="24"/>
    </w:rPr>
  </w:style>
  <w:style w:type="character" w:customStyle="1" w:styleId="37">
    <w:name w:val="Основной текст с отступом 3 Знак"/>
    <w:basedOn w:val="a0"/>
    <w:link w:val="36"/>
    <w:uiPriority w:val="99"/>
    <w:semiHidden/>
    <w:locked/>
    <w:rsid w:val="00284999"/>
    <w:rPr>
      <w:rFonts w:cs="Times New Roman"/>
      <w:sz w:val="16"/>
      <w:szCs w:val="16"/>
      <w:lang w:eastAsia="zh-CN"/>
    </w:rPr>
  </w:style>
  <w:style w:type="character" w:customStyle="1" w:styleId="311">
    <w:name w:val="Основной текст с отступом 3 Знак1"/>
    <w:uiPriority w:val="99"/>
    <w:semiHidden/>
    <w:rsid w:val="000E7694"/>
    <w:rPr>
      <w:sz w:val="16"/>
      <w:lang w:eastAsia="zh-CN"/>
    </w:rPr>
  </w:style>
  <w:style w:type="paragraph" w:styleId="aff6">
    <w:name w:val="Title"/>
    <w:basedOn w:val="a"/>
    <w:link w:val="aff7"/>
    <w:qFormat/>
    <w:rsid w:val="000E7694"/>
    <w:pPr>
      <w:suppressAutoHyphens w:val="0"/>
      <w:jc w:val="center"/>
    </w:pPr>
    <w:rPr>
      <w:b/>
      <w:sz w:val="24"/>
    </w:rPr>
  </w:style>
  <w:style w:type="character" w:customStyle="1" w:styleId="aff7">
    <w:name w:val="Название Знак"/>
    <w:basedOn w:val="a0"/>
    <w:link w:val="aff6"/>
    <w:locked/>
    <w:rsid w:val="00284999"/>
    <w:rPr>
      <w:rFonts w:ascii="Cambria" w:hAnsi="Cambria" w:cs="Times New Roman"/>
      <w:b/>
      <w:bCs/>
      <w:kern w:val="28"/>
      <w:sz w:val="32"/>
      <w:szCs w:val="32"/>
      <w:lang w:eastAsia="zh-CN"/>
    </w:rPr>
  </w:style>
  <w:style w:type="character" w:customStyle="1" w:styleId="29">
    <w:name w:val="Название Знак2"/>
    <w:uiPriority w:val="99"/>
    <w:rsid w:val="000E7694"/>
    <w:rPr>
      <w:rFonts w:ascii="Cambria" w:hAnsi="Cambria"/>
      <w:b/>
      <w:kern w:val="28"/>
      <w:sz w:val="32"/>
      <w:lang w:eastAsia="zh-CN"/>
    </w:rPr>
  </w:style>
  <w:style w:type="paragraph" w:styleId="2a">
    <w:name w:val="Body Text 2"/>
    <w:basedOn w:val="a"/>
    <w:link w:val="213"/>
    <w:uiPriority w:val="99"/>
    <w:rsid w:val="00453026"/>
    <w:pPr>
      <w:spacing w:after="120" w:line="480" w:lineRule="auto"/>
    </w:pPr>
  </w:style>
  <w:style w:type="character" w:customStyle="1" w:styleId="213">
    <w:name w:val="Основной текст 2 Знак1"/>
    <w:basedOn w:val="a0"/>
    <w:link w:val="2a"/>
    <w:uiPriority w:val="99"/>
    <w:locked/>
    <w:rsid w:val="00453026"/>
    <w:rPr>
      <w:rFonts w:cs="Times New Roman"/>
      <w:lang w:eastAsia="zh-CN"/>
    </w:rPr>
  </w:style>
  <w:style w:type="paragraph" w:customStyle="1" w:styleId="Textbodyindent">
    <w:name w:val="Text body indent"/>
    <w:basedOn w:val="Standard"/>
    <w:uiPriority w:val="99"/>
    <w:rsid w:val="00453026"/>
    <w:pPr>
      <w:widowControl/>
      <w:spacing w:after="120" w:line="276" w:lineRule="auto"/>
      <w:ind w:left="283"/>
    </w:pPr>
    <w:rPr>
      <w:rFonts w:ascii="Calibri" w:hAnsi="Calibri" w:cs="Calibri"/>
      <w:sz w:val="22"/>
      <w:szCs w:val="22"/>
      <w:lang w:val="ru-RU" w:eastAsia="zh-CN" w:bidi="ar-SA"/>
    </w:rPr>
  </w:style>
  <w:style w:type="character" w:customStyle="1" w:styleId="FontStyle11">
    <w:name w:val="Font Style11"/>
    <w:uiPriority w:val="99"/>
    <w:rsid w:val="004F5F5B"/>
    <w:rPr>
      <w:rFonts w:ascii="Times New Roman" w:hAnsi="Times New Roman"/>
      <w:sz w:val="26"/>
    </w:rPr>
  </w:style>
  <w:style w:type="character" w:styleId="aff8">
    <w:name w:val="Hyperlink"/>
    <w:basedOn w:val="a0"/>
    <w:uiPriority w:val="99"/>
    <w:rsid w:val="002A65CC"/>
    <w:rPr>
      <w:rFonts w:cs="Times New Roman"/>
      <w:color w:val="0000FF"/>
      <w:u w:val="single"/>
    </w:rPr>
  </w:style>
  <w:style w:type="paragraph" w:styleId="aff9">
    <w:name w:val="Block Text"/>
    <w:basedOn w:val="a"/>
    <w:rsid w:val="00430614"/>
    <w:pPr>
      <w:widowControl w:val="0"/>
      <w:suppressAutoHyphens w:val="0"/>
      <w:spacing w:before="120" w:line="320" w:lineRule="exact"/>
      <w:ind w:left="1540" w:right="1500"/>
      <w:jc w:val="center"/>
    </w:pPr>
    <w:rPr>
      <w:sz w:val="28"/>
      <w:lang w:eastAsia="ru-RU"/>
    </w:rPr>
  </w:style>
  <w:style w:type="paragraph" w:styleId="affa">
    <w:name w:val="Balloon Text"/>
    <w:basedOn w:val="a"/>
    <w:link w:val="affb"/>
    <w:uiPriority w:val="99"/>
    <w:semiHidden/>
    <w:rsid w:val="001A587D"/>
    <w:rPr>
      <w:rFonts w:ascii="Segoe UI" w:hAnsi="Segoe UI"/>
      <w:sz w:val="18"/>
      <w:szCs w:val="18"/>
    </w:rPr>
  </w:style>
  <w:style w:type="character" w:customStyle="1" w:styleId="affb">
    <w:name w:val="Текст выноски Знак"/>
    <w:basedOn w:val="a0"/>
    <w:link w:val="affa"/>
    <w:uiPriority w:val="99"/>
    <w:semiHidden/>
    <w:locked/>
    <w:rsid w:val="001A587D"/>
    <w:rPr>
      <w:rFonts w:ascii="Segoe UI" w:hAnsi="Segoe UI" w:cs="Times New Roman"/>
      <w:sz w:val="18"/>
      <w:lang w:eastAsia="zh-CN"/>
    </w:rPr>
  </w:style>
  <w:style w:type="character" w:customStyle="1" w:styleId="aff2">
    <w:name w:val="Последний абзац Знак"/>
    <w:basedOn w:val="a0"/>
    <w:link w:val="aff1"/>
    <w:uiPriority w:val="99"/>
    <w:locked/>
    <w:rsid w:val="0093504D"/>
    <w:rPr>
      <w:rFonts w:eastAsia="Times New Roman" w:cs="Times New Roman"/>
      <w:sz w:val="22"/>
      <w:szCs w:val="22"/>
      <w:lang w:eastAsia="zh-CN"/>
    </w:rPr>
  </w:style>
  <w:style w:type="character" w:customStyle="1" w:styleId="1d">
    <w:name w:val="Без интервала Знак1"/>
    <w:basedOn w:val="a0"/>
    <w:link w:val="af9"/>
    <w:uiPriority w:val="99"/>
    <w:locked/>
    <w:rsid w:val="00345BF3"/>
    <w:rPr>
      <w:rFonts w:ascii="Calibri" w:hAnsi="Calibri" w:cs="Calibri"/>
      <w:sz w:val="22"/>
      <w:szCs w:val="22"/>
      <w:lang w:val="ru-RU" w:eastAsia="zh-CN" w:bidi="ar-SA"/>
    </w:rPr>
  </w:style>
  <w:style w:type="paragraph" w:customStyle="1" w:styleId="2b">
    <w:name w:val="Без интервала2"/>
    <w:uiPriority w:val="99"/>
    <w:rsid w:val="00345BF3"/>
    <w:pPr>
      <w:suppressAutoHyphens/>
    </w:pPr>
    <w:rPr>
      <w:rFonts w:ascii="Calibri" w:hAnsi="Calibri" w:cs="Calibri"/>
      <w:lang w:eastAsia="ar-SA"/>
    </w:rPr>
  </w:style>
  <w:style w:type="paragraph" w:customStyle="1" w:styleId="Default">
    <w:name w:val="Default"/>
    <w:uiPriority w:val="99"/>
    <w:rsid w:val="00345BF3"/>
    <w:pPr>
      <w:autoSpaceDE w:val="0"/>
      <w:autoSpaceDN w:val="0"/>
      <w:adjustRightInd w:val="0"/>
    </w:pPr>
    <w:rPr>
      <w:color w:val="000000"/>
      <w:sz w:val="24"/>
      <w:szCs w:val="24"/>
    </w:rPr>
  </w:style>
  <w:style w:type="paragraph" w:customStyle="1" w:styleId="38">
    <w:name w:val="Без интервала3"/>
    <w:link w:val="NoSpacingChar"/>
    <w:uiPriority w:val="99"/>
    <w:rsid w:val="00C16FFD"/>
    <w:pPr>
      <w:suppressAutoHyphens/>
    </w:pPr>
    <w:rPr>
      <w:rFonts w:ascii="Calibri" w:hAnsi="Calibri" w:cs="Calibri"/>
      <w:lang w:eastAsia="zh-CN"/>
    </w:rPr>
  </w:style>
  <w:style w:type="character" w:customStyle="1" w:styleId="NoSpacingChar">
    <w:name w:val="No Spacing Char"/>
    <w:basedOn w:val="a0"/>
    <w:link w:val="38"/>
    <w:locked/>
    <w:rsid w:val="00C16FFD"/>
    <w:rPr>
      <w:rFonts w:ascii="Calibri" w:hAnsi="Calibri" w:cs="Calibri"/>
      <w:sz w:val="22"/>
      <w:szCs w:val="22"/>
      <w:lang w:val="ru-RU" w:eastAsia="zh-CN" w:bidi="ar-SA"/>
    </w:rPr>
  </w:style>
  <w:style w:type="character" w:customStyle="1" w:styleId="afd">
    <w:name w:val="Абзац списка Знак"/>
    <w:link w:val="afc"/>
    <w:uiPriority w:val="34"/>
    <w:locked/>
    <w:rsid w:val="00F6055C"/>
    <w:rPr>
      <w:sz w:val="24"/>
      <w:lang w:eastAsia="zh-CN"/>
    </w:rPr>
  </w:style>
  <w:style w:type="character" w:styleId="affc">
    <w:name w:val="footnote reference"/>
    <w:basedOn w:val="a0"/>
    <w:uiPriority w:val="99"/>
    <w:semiHidden/>
    <w:locked/>
    <w:rsid w:val="00CC71EF"/>
    <w:rPr>
      <w:rFonts w:cs="Times New Roman"/>
      <w:vertAlign w:val="superscript"/>
    </w:rPr>
  </w:style>
  <w:style w:type="character" w:customStyle="1" w:styleId="apple-style-span">
    <w:name w:val="apple-style-span"/>
    <w:uiPriority w:val="99"/>
    <w:rsid w:val="00E64BF7"/>
  </w:style>
  <w:style w:type="character" w:styleId="affd">
    <w:name w:val="Emphasis"/>
    <w:basedOn w:val="a0"/>
    <w:uiPriority w:val="99"/>
    <w:qFormat/>
    <w:rsid w:val="008A331D"/>
    <w:rPr>
      <w:rFonts w:cs="Times New Roman"/>
      <w:i/>
      <w:iCs/>
    </w:rPr>
  </w:style>
  <w:style w:type="paragraph" w:customStyle="1" w:styleId="1f5">
    <w:name w:val="Абзац списка1"/>
    <w:basedOn w:val="a"/>
    <w:rsid w:val="00A65FD4"/>
    <w:pPr>
      <w:spacing w:after="200" w:line="276" w:lineRule="auto"/>
      <w:ind w:left="720"/>
      <w:jc w:val="both"/>
    </w:pPr>
    <w:rPr>
      <w:rFonts w:eastAsia="Calibri"/>
      <w:sz w:val="28"/>
      <w:lang w:val="en-US"/>
    </w:rPr>
  </w:style>
  <w:style w:type="paragraph" w:customStyle="1" w:styleId="46">
    <w:name w:val="Без интервала4"/>
    <w:rsid w:val="00CF18D0"/>
    <w:rPr>
      <w:rFonts w:ascii="Calibri" w:hAnsi="Calibri"/>
    </w:rPr>
  </w:style>
  <w:style w:type="paragraph" w:customStyle="1" w:styleId="53">
    <w:name w:val="Без интервала5"/>
    <w:rsid w:val="00CF18D0"/>
    <w:rPr>
      <w:rFonts w:ascii="Calibri" w:hAnsi="Calibri"/>
    </w:rPr>
  </w:style>
  <w:style w:type="paragraph" w:customStyle="1" w:styleId="62">
    <w:name w:val="Без интервала6"/>
    <w:rsid w:val="00CF18D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8736">
      <w:marLeft w:val="0"/>
      <w:marRight w:val="0"/>
      <w:marTop w:val="0"/>
      <w:marBottom w:val="0"/>
      <w:divBdr>
        <w:top w:val="none" w:sz="0" w:space="0" w:color="auto"/>
        <w:left w:val="none" w:sz="0" w:space="0" w:color="auto"/>
        <w:bottom w:val="none" w:sz="0" w:space="0" w:color="auto"/>
        <w:right w:val="none" w:sz="0" w:space="0" w:color="auto"/>
      </w:divBdr>
    </w:div>
    <w:div w:id="746998737">
      <w:marLeft w:val="0"/>
      <w:marRight w:val="0"/>
      <w:marTop w:val="0"/>
      <w:marBottom w:val="0"/>
      <w:divBdr>
        <w:top w:val="none" w:sz="0" w:space="0" w:color="auto"/>
        <w:left w:val="none" w:sz="0" w:space="0" w:color="auto"/>
        <w:bottom w:val="none" w:sz="0" w:space="0" w:color="auto"/>
        <w:right w:val="none" w:sz="0" w:space="0" w:color="auto"/>
      </w:divBdr>
    </w:div>
    <w:div w:id="746998738">
      <w:marLeft w:val="0"/>
      <w:marRight w:val="0"/>
      <w:marTop w:val="0"/>
      <w:marBottom w:val="0"/>
      <w:divBdr>
        <w:top w:val="none" w:sz="0" w:space="0" w:color="auto"/>
        <w:left w:val="none" w:sz="0" w:space="0" w:color="auto"/>
        <w:bottom w:val="none" w:sz="0" w:space="0" w:color="auto"/>
        <w:right w:val="none" w:sz="0" w:space="0" w:color="auto"/>
      </w:divBdr>
    </w:div>
    <w:div w:id="746998739">
      <w:marLeft w:val="0"/>
      <w:marRight w:val="0"/>
      <w:marTop w:val="0"/>
      <w:marBottom w:val="0"/>
      <w:divBdr>
        <w:top w:val="none" w:sz="0" w:space="0" w:color="auto"/>
        <w:left w:val="none" w:sz="0" w:space="0" w:color="auto"/>
        <w:bottom w:val="none" w:sz="0" w:space="0" w:color="auto"/>
        <w:right w:val="none" w:sz="0" w:space="0" w:color="auto"/>
      </w:divBdr>
    </w:div>
    <w:div w:id="746998740">
      <w:marLeft w:val="0"/>
      <w:marRight w:val="0"/>
      <w:marTop w:val="0"/>
      <w:marBottom w:val="0"/>
      <w:divBdr>
        <w:top w:val="none" w:sz="0" w:space="0" w:color="auto"/>
        <w:left w:val="none" w:sz="0" w:space="0" w:color="auto"/>
        <w:bottom w:val="none" w:sz="0" w:space="0" w:color="auto"/>
        <w:right w:val="none" w:sz="0" w:space="0" w:color="auto"/>
      </w:divBdr>
    </w:div>
    <w:div w:id="746998741">
      <w:marLeft w:val="0"/>
      <w:marRight w:val="0"/>
      <w:marTop w:val="0"/>
      <w:marBottom w:val="0"/>
      <w:divBdr>
        <w:top w:val="none" w:sz="0" w:space="0" w:color="auto"/>
        <w:left w:val="none" w:sz="0" w:space="0" w:color="auto"/>
        <w:bottom w:val="none" w:sz="0" w:space="0" w:color="auto"/>
        <w:right w:val="none" w:sz="0" w:space="0" w:color="auto"/>
      </w:divBdr>
    </w:div>
    <w:div w:id="10652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fo.avtovaz.ru/index.php?id=301" TargetMode="External"/><Relationship Id="rId7" Type="http://schemas.openxmlformats.org/officeDocument/2006/relationships/hyperlink" Target="http://economy.samregion.ru/activity/mun_razv/reitingi/gorodskie-okruga/" TargetMode="External"/><Relationship Id="rId2" Type="http://schemas.openxmlformats.org/officeDocument/2006/relationships/hyperlink" Target="http://augustnews.ru/avtovaz-430-millionov-rublej-na-podderzhku-5131-cheloveka/" TargetMode="External"/><Relationship Id="rId1" Type="http://schemas.openxmlformats.org/officeDocument/2006/relationships/hyperlink" Target="http://www.lada.ru/press-releases/113663.html" TargetMode="External"/><Relationship Id="rId6" Type="http://schemas.openxmlformats.org/officeDocument/2006/relationships/hyperlink" Target="https://www.nalog.ru/rn63/related_activities/statistics_and_analytics/forms/" TargetMode="External"/><Relationship Id="rId5" Type="http://schemas.openxmlformats.org/officeDocument/2006/relationships/hyperlink" Target="http://www.e-disclosure.ru/portal/files.aspx?id=23343&amp;type=5" TargetMode="External"/><Relationship Id="rId4" Type="http://schemas.openxmlformats.org/officeDocument/2006/relationships/hyperlink" Target="http://www.kuazot.ru/rus/for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AFE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7CE4-8D9A-4EC7-90C3-EE6DB2B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40</Pages>
  <Words>16703</Words>
  <Characters>95213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Мэрия городского округа Тольятти</Company>
  <LinksUpToDate>false</LinksUpToDate>
  <CharactersWithSpaces>111693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Пользователь</dc:creator>
  <cp:lastModifiedBy>Ерохина Татьяна Владиславовна</cp:lastModifiedBy>
  <cp:revision>97</cp:revision>
  <cp:lastPrinted>2017-10-24T04:36:00Z</cp:lastPrinted>
  <dcterms:created xsi:type="dcterms:W3CDTF">2017-10-01T15:06:00Z</dcterms:created>
  <dcterms:modified xsi:type="dcterms:W3CDTF">2017-11-09T07:31:00Z</dcterms:modified>
</cp:coreProperties>
</file>