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93" w:rsidRDefault="00A21A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1A93" w:rsidRDefault="00A21A93">
      <w:pPr>
        <w:pStyle w:val="ConsPlusNormal"/>
        <w:jc w:val="both"/>
        <w:outlineLvl w:val="0"/>
      </w:pPr>
    </w:p>
    <w:p w:rsidR="00A21A93" w:rsidRDefault="00A21A93">
      <w:pPr>
        <w:pStyle w:val="ConsPlusTitle"/>
        <w:jc w:val="center"/>
        <w:outlineLvl w:val="0"/>
      </w:pPr>
      <w:r>
        <w:t>ДУМА ГОРОДСКОГО ОКРУГА ТОЛЬЯТТИ</w:t>
      </w:r>
    </w:p>
    <w:p w:rsidR="00A21A93" w:rsidRDefault="00A21A93">
      <w:pPr>
        <w:pStyle w:val="ConsPlusTitle"/>
        <w:jc w:val="center"/>
      </w:pPr>
      <w:r>
        <w:t>САМАРСКОЙ ОБЛАСТИ</w:t>
      </w:r>
    </w:p>
    <w:p w:rsidR="00A21A93" w:rsidRDefault="00A21A93">
      <w:pPr>
        <w:pStyle w:val="ConsPlusTitle"/>
        <w:jc w:val="both"/>
      </w:pPr>
    </w:p>
    <w:p w:rsidR="00A21A93" w:rsidRDefault="00A21A93">
      <w:pPr>
        <w:pStyle w:val="ConsPlusTitle"/>
        <w:jc w:val="center"/>
      </w:pPr>
      <w:r>
        <w:t>РЕШЕНИЕ</w:t>
      </w:r>
    </w:p>
    <w:p w:rsidR="00A21A93" w:rsidRDefault="00A21A93">
      <w:pPr>
        <w:pStyle w:val="ConsPlusTitle"/>
        <w:jc w:val="center"/>
      </w:pPr>
      <w:r>
        <w:t>от 29 марта 2023 г. N 1510</w:t>
      </w:r>
    </w:p>
    <w:p w:rsidR="00A21A93" w:rsidRDefault="00A21A93">
      <w:pPr>
        <w:pStyle w:val="ConsPlusTitle"/>
        <w:jc w:val="both"/>
      </w:pPr>
    </w:p>
    <w:p w:rsidR="00A21A93" w:rsidRDefault="00A21A93">
      <w:pPr>
        <w:pStyle w:val="ConsPlusTitle"/>
        <w:jc w:val="center"/>
      </w:pPr>
      <w:r>
        <w:t>О ПОРЯДКАХ ОПРЕДЕЛЕНИЯ РАЗМЕРА ПЛАТЫ, НАЧАЛЬНОГО РАЗМЕРА</w:t>
      </w:r>
    </w:p>
    <w:p w:rsidR="00A21A93" w:rsidRDefault="00A21A93">
      <w:pPr>
        <w:pStyle w:val="ConsPlusTitle"/>
        <w:jc w:val="center"/>
      </w:pPr>
      <w:r>
        <w:t>ПЛАТЫ ПО ДОГОВОРАМ НА РАЗМЕЩЕНИЕ НЕСТАЦИОНАРНЫХ ТОРГОВЫХ</w:t>
      </w:r>
    </w:p>
    <w:p w:rsidR="00A21A93" w:rsidRDefault="00A21A93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A21A93" w:rsidRDefault="00A21A93">
      <w:pPr>
        <w:pStyle w:val="ConsPlusTitle"/>
        <w:jc w:val="center"/>
      </w:pPr>
      <w:r>
        <w:t>В МУНИЦИПАЛЬНОЙ СОБСТВЕННОСТИ ГОРОДСКОГО ОКРУГА ТОЛЬЯТТИ,</w:t>
      </w:r>
    </w:p>
    <w:p w:rsidR="00A21A93" w:rsidRDefault="00A21A93">
      <w:pPr>
        <w:pStyle w:val="ConsPlusTitle"/>
        <w:jc w:val="center"/>
      </w:pPr>
      <w:r>
        <w:t>НА ТЕРРИТОРИИ ГОРОДСКОГО ОКРУГА ТОЛЬЯТТИ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>
        <w:r>
          <w:rPr>
            <w:color w:val="0000FF"/>
          </w:rPr>
          <w:t>статьей 5</w:t>
        </w:r>
      </w:hyperlink>
      <w:r>
        <w:t xml:space="preserve"> Закона Самарской области от 05.07.2010 N 76-ГД "О государственном регулировании торговой деятельности на территории Самарской области",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02.08.2016 N 426 "О реализации отдельных полномочий в области государственного регулирования торговой деятельности", во исполнение решения Самарского областного суда от 22.11.2022, апелляционного определения Четвертого апелляционного суда общей юрисдикции от 22.03.2023,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определения размера платы по договору на размещение нестационарного торгового объекта, заключаемому без проведения аукциона, на землях или земельных участках, находящихся в муниципальной собственности городского округа Тольятти, на территории городского округа Тольятти согласно приложению 1.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>
        <w:r>
          <w:rPr>
            <w:color w:val="0000FF"/>
          </w:rPr>
          <w:t>Порядок</w:t>
        </w:r>
      </w:hyperlink>
      <w:r>
        <w:t xml:space="preserve"> определения начального размера платы по договору на размещение нестационарного торгового объекта, заключаемому по итогам аукциона, на землях или земельных участках, находящихся в муниципальной собственности городского округа Тольятти, на территории городского округа Тольятти согласно приложению 2.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"Городские ведомости".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right"/>
      </w:pPr>
      <w:r>
        <w:t>Глава</w:t>
      </w:r>
    </w:p>
    <w:p w:rsidR="00A21A93" w:rsidRDefault="00A21A93">
      <w:pPr>
        <w:pStyle w:val="ConsPlusNormal"/>
        <w:jc w:val="right"/>
      </w:pPr>
      <w:r>
        <w:t>городского округа</w:t>
      </w:r>
    </w:p>
    <w:p w:rsidR="00A21A93" w:rsidRDefault="00A21A93">
      <w:pPr>
        <w:pStyle w:val="ConsPlusNormal"/>
        <w:jc w:val="right"/>
      </w:pPr>
      <w:r>
        <w:t>Н.А.РЕНЦ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right"/>
      </w:pPr>
      <w:r>
        <w:t>Председатель Думы</w:t>
      </w:r>
    </w:p>
    <w:p w:rsidR="00A21A93" w:rsidRDefault="00A21A93">
      <w:pPr>
        <w:pStyle w:val="ConsPlusNormal"/>
        <w:jc w:val="right"/>
      </w:pPr>
      <w:r>
        <w:t>Н.И.ОСТУДИН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right"/>
        <w:outlineLvl w:val="0"/>
      </w:pPr>
      <w:r>
        <w:t>Приложение 1</w:t>
      </w:r>
    </w:p>
    <w:p w:rsidR="00A21A93" w:rsidRDefault="00A21A93">
      <w:pPr>
        <w:pStyle w:val="ConsPlusNormal"/>
        <w:jc w:val="right"/>
      </w:pPr>
      <w:r>
        <w:lastRenderedPageBreak/>
        <w:t>к Решению Думы</w:t>
      </w:r>
    </w:p>
    <w:p w:rsidR="00A21A93" w:rsidRDefault="00A21A93">
      <w:pPr>
        <w:pStyle w:val="ConsPlusNormal"/>
        <w:jc w:val="right"/>
      </w:pPr>
      <w:r>
        <w:t>от 29 марта 2023 г. N 1510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Title"/>
        <w:jc w:val="center"/>
      </w:pPr>
      <w:bookmarkStart w:id="0" w:name="P35"/>
      <w:bookmarkEnd w:id="0"/>
      <w:r>
        <w:t>ПОРЯДОК</w:t>
      </w:r>
    </w:p>
    <w:p w:rsidR="00A21A93" w:rsidRDefault="00A21A93">
      <w:pPr>
        <w:pStyle w:val="ConsPlusTitle"/>
        <w:jc w:val="center"/>
      </w:pPr>
      <w:r>
        <w:t>ОПРЕДЕЛЕНИЯ РАЗМЕРА ПЛАТЫ ПО ДОГОВОРУ НА РАЗМЕЩЕНИЕ</w:t>
      </w:r>
    </w:p>
    <w:p w:rsidR="00A21A93" w:rsidRDefault="00A21A93">
      <w:pPr>
        <w:pStyle w:val="ConsPlusTitle"/>
        <w:jc w:val="center"/>
      </w:pPr>
      <w:r>
        <w:t>НЕСТАЦИОНАРНОГО ТОРГОВОГО ОБЪЕКТА, ЗАКЛЮЧАЕМОМУ</w:t>
      </w:r>
    </w:p>
    <w:p w:rsidR="00A21A93" w:rsidRDefault="00A21A93">
      <w:pPr>
        <w:pStyle w:val="ConsPlusTitle"/>
        <w:jc w:val="center"/>
      </w:pPr>
      <w:r>
        <w:t>БЕЗ ПРОВЕДЕНИЯ АУКЦИОНА, НА ЗЕМЛЯХ ИЛИ ЗЕМЕЛЬНЫХ УЧАСТКАХ,</w:t>
      </w:r>
    </w:p>
    <w:p w:rsidR="00A21A93" w:rsidRDefault="00A21A93">
      <w:pPr>
        <w:pStyle w:val="ConsPlusTitle"/>
        <w:jc w:val="center"/>
      </w:pPr>
      <w:r>
        <w:t>НАХОДЯЩИХСЯ В МУНИЦИПАЛЬНОЙ СОБСТВЕННОСТИ ГОРОДСКОГО ОКРУГА</w:t>
      </w:r>
    </w:p>
    <w:p w:rsidR="00A21A93" w:rsidRDefault="00A21A93">
      <w:pPr>
        <w:pStyle w:val="ConsPlusTitle"/>
        <w:jc w:val="center"/>
      </w:pPr>
      <w:r>
        <w:t>ТОЛЬЯТТИ, НА ТЕРРИТОРИИ ГОРОДСКОГО ОКРУГА ТОЛЬЯТТИ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ind w:firstLine="540"/>
        <w:jc w:val="both"/>
      </w:pPr>
      <w:r>
        <w:t>1. Настоящий Порядок регулирует процедуру (методику) определения размера платы по договору на размещение нестационарного торгового объекта, заключаемому без проведения аукциона, на землях или земельных участках, находящихся в муниципальной собственности городского округа Тольятти (далее - размер платы по договору), на территории городского округа Тольятти.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Размер платы по договору на размещение сезонных (летних) кафе при стационарных предприятиях общественного питания определяется за весь период использования таких объектов в течение сезона.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4. Объектом оценки является право размещения нестационарного торгового объекта в месте размещения такого объекта согласно </w:t>
      </w:r>
      <w:proofErr w:type="gramStart"/>
      <w:r>
        <w:t>схеме размещения нестационарных торговых объектов</w:t>
      </w:r>
      <w:proofErr w:type="gramEnd"/>
      <w:r>
        <w:t xml:space="preserve"> на территории городского округа Тольятти.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5. Основанием для проведения оценки является договор на проведение оценки указанных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Порядка объектов, заключенный администрацией городского округа Тольятти в лице уполномоченного органа администрации городского округа Тольятти с оценщиком или с юридическим лицом, с которым оценщик заключил трудовой договор.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6. Оценка объекта оценки выполняется оценщиком на основе задания на оценку, которое является неотъемлемой частью договора на оценку объекта оценки (далее - договор на оценку) и содержит следующую информацию: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информацию, предусмотренную федеральными стандартами оценки, действующими на момент проведения оценки;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иные существенные допущения, установленные уполномоченным органом администрации городского округа Тольятти исходя из индивидуальных характеристик предполагаемого места размещения нестационарного торгового объекта, являющиеся обязательными для оценщика при отборе объектов-аналогов.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lastRenderedPageBreak/>
        <w:t>7. К иным существенным допущениям, подлежащим включению в задания на оценку, относятся: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а) расположение места размещения нестационарного торгового объекта с учетом административно-территориального деления города Тольятти (Автозаводский район, Центральный район, Комсомольский район, территория микрорайонов (Поволжский, Федоровка, Шлюзовой, Новоматюшкино, Портовый, Загородный);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б) окружающая застройка (градостроительное зонирование):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жилая зона - 1 (Ж-1А, Ж-1Б, Ж-2);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жилая зона - 2 (Ж-3, Ж-4, Ж-5);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общественно-деловая зона;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промышленности и коммунально-складских объектов;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инженерной и транспортной инфраструктуры;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рекреационного назначения;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специального назначения;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площадь места расположения нестационарного торгового объекта: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до 50 метров;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от 50 до 100 метров;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- 100 метров и более;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г) специализация нестационарного торгового объекта (универсальная, продовольственная, непродовольственная).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8. В случае отсутствия объектов-аналогов, соответствующих существенным допущениям, включенным в задание на оценку в соответствии с </w:t>
      </w:r>
      <w:hyperlink w:anchor="P54">
        <w:r>
          <w:rPr>
            <w:color w:val="0000FF"/>
          </w:rPr>
          <w:t>подпунктом "б" пункта 7</w:t>
        </w:r>
      </w:hyperlink>
      <w:r>
        <w:t xml:space="preserve"> настоящего Порядка, оценщик выбирает объекты с иным градостроительным зонированием, но с обязательным соответствием существенным допущениям, включенным в задание на оценку в соответствии с </w:t>
      </w:r>
      <w:hyperlink w:anchor="P53">
        <w:r>
          <w:rPr>
            <w:color w:val="0000FF"/>
          </w:rPr>
          <w:t>подпунктами "а"</w:t>
        </w:r>
      </w:hyperlink>
      <w:r>
        <w:t xml:space="preserve">, </w:t>
      </w:r>
      <w:hyperlink w:anchor="P62">
        <w:r>
          <w:rPr>
            <w:color w:val="0000FF"/>
          </w:rPr>
          <w:t>"в"</w:t>
        </w:r>
      </w:hyperlink>
      <w:r>
        <w:t xml:space="preserve">, </w:t>
      </w:r>
      <w:hyperlink w:anchor="P66">
        <w:r>
          <w:rPr>
            <w:color w:val="0000FF"/>
          </w:rPr>
          <w:t>"г" пункта 7</w:t>
        </w:r>
      </w:hyperlink>
      <w:r>
        <w:t xml:space="preserve"> настоящего Порядка.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9. Рассчитанный в соответствии с </w:t>
      </w:r>
      <w:hyperlink w:anchor="P43">
        <w:r>
          <w:rPr>
            <w:color w:val="0000FF"/>
          </w:rPr>
          <w:t>пунктами 2</w:t>
        </w:r>
      </w:hyperlink>
      <w:r>
        <w:t xml:space="preserve"> и </w:t>
      </w:r>
      <w:hyperlink w:anchor="P44">
        <w:r>
          <w:rPr>
            <w:color w:val="0000FF"/>
          </w:rPr>
          <w:t>3</w:t>
        </w:r>
      </w:hyperlink>
      <w:r>
        <w:t xml:space="preserve"> настоящего Порядка размер платы по договору за первый год использования нестационарного торгового объекта во второй и последующие годы использования несезонного нестационарного торгового объекта умножается на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(индекс потребительских цен, декабрь к декабрю) по состоянию на 1 января очередного года,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При определении размера платы по договору за год, соответствующий году утверждения результатов определения кадастровой стоимости земельных участков Самарской области, значение коэффициента инфляции устанавливается равным 1.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right"/>
        <w:outlineLvl w:val="0"/>
      </w:pPr>
      <w:r>
        <w:t>Приложение 2</w:t>
      </w:r>
    </w:p>
    <w:p w:rsidR="00A21A93" w:rsidRDefault="00A21A93">
      <w:pPr>
        <w:pStyle w:val="ConsPlusNormal"/>
        <w:jc w:val="right"/>
      </w:pPr>
      <w:r>
        <w:t>к Решению Думы</w:t>
      </w:r>
    </w:p>
    <w:p w:rsidR="00A21A93" w:rsidRDefault="00A21A93">
      <w:pPr>
        <w:pStyle w:val="ConsPlusNormal"/>
        <w:jc w:val="right"/>
      </w:pPr>
      <w:r>
        <w:t>от 29 марта 2023 г. N 1510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Title"/>
        <w:jc w:val="center"/>
      </w:pPr>
      <w:bookmarkStart w:id="8" w:name="P79"/>
      <w:bookmarkEnd w:id="8"/>
      <w:r>
        <w:t>ПОРЯДОК</w:t>
      </w:r>
    </w:p>
    <w:p w:rsidR="00A21A93" w:rsidRDefault="00A21A93">
      <w:pPr>
        <w:pStyle w:val="ConsPlusTitle"/>
        <w:jc w:val="center"/>
      </w:pPr>
      <w:r>
        <w:t>ОПРЕДЕЛЕНИЯ НАЧАЛЬНОГО РАЗМЕРА ПЛАТЫ ПО ДОГОВОРУ</w:t>
      </w:r>
    </w:p>
    <w:p w:rsidR="00A21A93" w:rsidRDefault="00A21A93">
      <w:pPr>
        <w:pStyle w:val="ConsPlusTitle"/>
        <w:jc w:val="center"/>
      </w:pPr>
      <w:r>
        <w:t>НА РАЗМЕЩЕНИЕ НЕСТАЦИОНАРНОГО ТОРГОВОГО ОБЪЕКТА,</w:t>
      </w:r>
    </w:p>
    <w:p w:rsidR="00A21A93" w:rsidRDefault="00A21A93">
      <w:pPr>
        <w:pStyle w:val="ConsPlusTitle"/>
        <w:jc w:val="center"/>
      </w:pPr>
      <w:r>
        <w:t>ЗАКЛЮЧАЕМОМУ ПО ИТОГАМ АУКЦИОНА, НА ЗЕМЛЯХ ИЛИ ЗЕМЕЛЬНЫХ</w:t>
      </w:r>
    </w:p>
    <w:p w:rsidR="00A21A93" w:rsidRDefault="00A21A93">
      <w:pPr>
        <w:pStyle w:val="ConsPlusTitle"/>
        <w:jc w:val="center"/>
      </w:pPr>
      <w:r>
        <w:t>УЧАСТКАХ, НАХОДЯЩИХСЯ В МУНИЦИПАЛЬНОЙ СОБСТВЕННОСТИ</w:t>
      </w:r>
    </w:p>
    <w:p w:rsidR="00A21A93" w:rsidRDefault="00A21A93">
      <w:pPr>
        <w:pStyle w:val="ConsPlusTitle"/>
        <w:jc w:val="center"/>
      </w:pPr>
      <w:r>
        <w:t>ГОРОДСКОГО ОКРУГА ТОЛЬЯТТИ, НА ТЕРРИТОРИИ</w:t>
      </w:r>
    </w:p>
    <w:p w:rsidR="00A21A93" w:rsidRDefault="00A21A93">
      <w:pPr>
        <w:pStyle w:val="ConsPlusTitle"/>
        <w:jc w:val="center"/>
      </w:pPr>
      <w:r>
        <w:t>ГОРОДСКОГО ОКРУГА ТОЛЬЯТТИ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ind w:firstLine="540"/>
        <w:jc w:val="both"/>
      </w:pPr>
      <w:r>
        <w:t>1. Настоящий Порядок регулирует процедуру (методику) определения начального размера платы по договору на размещение нестационарного торгового объекта, заключаемому по итогам аукциона, на землях или земельных участках, находящихся в муниципальной собственности городского округа Тольятти (далее - начальный размер платы), на территории городского округа Тольятти.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2. Начальный размер платы считается равным рыночной стоимости платы по договору на размещение нестационарного торгового объекта в месте размещения </w:t>
      </w:r>
      <w:proofErr w:type="gramStart"/>
      <w:r>
        <w:t>та</w:t>
      </w:r>
      <w:proofErr w:type="gramEnd"/>
      <w:r>
        <w:t xml:space="preserve"> кого объекта согласно схеме размещения нестационарных торговых объектов городского округа Тольятти,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3.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сезона.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объекта.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4. Объектом оценки является право размещения нестационарного торгового объекта в месте размещения такого объекта согласно </w:t>
      </w:r>
      <w:proofErr w:type="gramStart"/>
      <w:r>
        <w:t>схеме размещения нестационарных торговых объектов</w:t>
      </w:r>
      <w:proofErr w:type="gramEnd"/>
      <w:r>
        <w:t xml:space="preserve"> на территории городского округа Тольятти.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5. Основанием для проведения оценки является договор на проведение оценки указанных в </w:t>
      </w:r>
      <w:hyperlink w:anchor="P90">
        <w:r>
          <w:rPr>
            <w:color w:val="0000FF"/>
          </w:rPr>
          <w:t>пункте 4</w:t>
        </w:r>
      </w:hyperlink>
      <w:r>
        <w:t xml:space="preserve"> настоящего Порядка объектов, заключенный администрацией городского округа Тольятти в лице уполномоченного органа администрации городского округа Тольятти с оценщиком или с юридическим лицом, с которым оценщик заключил трудовой договор.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6. Оценка объекта оценки выполняется оценщиком на основе задания на оценку, которое является неотъемлемой частью договора на оценку объекта оценки (далее - договор на оценку) и содержит следующую информацию: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информацию, предусмотренную федеральными стандартами оценки, действующими на момент проведения оценки;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иные существенные допущения, установленные уполномоченным органом администрации городского округа Тольятти исходя из индивидуальных характеристик предполагаемого места размещения нестационарного торгового объекта, являющиеся обязательными для оценщика при отборе объектов-аналогов.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lastRenderedPageBreak/>
        <w:t>7. К иным существенным допущениям, подлежащим включению в задания на оценку, относятся: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а) расположение места размещения нестационарного торгового объекта с учетом административно-территориального деления города Тольятти (Автозаводский район, Центральный район, Комсомольский район, территория микрорайонов (Поволжский, Федоровка, Шлюзовой, Новоматюшкино, Портовый, Загородный);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б) окружающая застройка (градостроительное зонирование):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жилая зона - 1 (Ж-1А, Ж-1Б, Ж-2);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жилая зона - 2 (Ж-3, Ж-4, Ж-5);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общественно-деловая зона;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промышленности и коммунально-складских объектов;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инженерной и транспортной инфраструктуры;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рекреационного назначения;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зона специального назначения;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в) площадь места размещения нестационарного торгового объекта: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до 50 метров;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от 50 до 100 метров;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>- 100 метров и более;</w:t>
      </w:r>
    </w:p>
    <w:p w:rsidR="00A21A93" w:rsidRDefault="00A21A93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>г) специализация нестационарного торгового объекта (универсальная, продовольственная, непродовольственная).</w:t>
      </w:r>
    </w:p>
    <w:p w:rsidR="00A21A93" w:rsidRDefault="00A21A93">
      <w:pPr>
        <w:pStyle w:val="ConsPlusNormal"/>
        <w:spacing w:before="220"/>
        <w:ind w:firstLine="540"/>
        <w:jc w:val="both"/>
      </w:pPr>
      <w:r>
        <w:t xml:space="preserve">8. В случае отсутствия объектов-аналогов, соответствующих существенным допущениям, включенным в задание на оценку в соответствии с </w:t>
      </w:r>
      <w:hyperlink w:anchor="P97">
        <w:r>
          <w:rPr>
            <w:color w:val="0000FF"/>
          </w:rPr>
          <w:t>подпунктом "б" пункта 7</w:t>
        </w:r>
      </w:hyperlink>
      <w:r>
        <w:t xml:space="preserve"> настоящего Порядка, оценщик выбирает объекты с иным градостроительным зонированием, но с обязательным соответствием существенным допущениям, включенным в задание на оценку в соответствии с </w:t>
      </w:r>
      <w:hyperlink w:anchor="P96">
        <w:r>
          <w:rPr>
            <w:color w:val="0000FF"/>
          </w:rPr>
          <w:t>подпунктами "а"</w:t>
        </w:r>
      </w:hyperlink>
      <w:r>
        <w:t xml:space="preserve">, </w:t>
      </w:r>
      <w:hyperlink w:anchor="P105">
        <w:r>
          <w:rPr>
            <w:color w:val="0000FF"/>
          </w:rPr>
          <w:t>"в"</w:t>
        </w:r>
      </w:hyperlink>
      <w:r>
        <w:t xml:space="preserve">, </w:t>
      </w:r>
      <w:hyperlink w:anchor="P109">
        <w:r>
          <w:rPr>
            <w:color w:val="0000FF"/>
          </w:rPr>
          <w:t>"г" пункта 7</w:t>
        </w:r>
      </w:hyperlink>
      <w:r>
        <w:t xml:space="preserve"> настоящего Порядка.</w:t>
      </w: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jc w:val="both"/>
      </w:pPr>
    </w:p>
    <w:p w:rsidR="00A21A93" w:rsidRDefault="00A21A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803" w:rsidRDefault="00A21A93">
      <w:bookmarkStart w:id="14" w:name="_GoBack"/>
      <w:bookmarkEnd w:id="14"/>
    </w:p>
    <w:sectPr w:rsidR="00805803" w:rsidSect="0006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3"/>
    <w:rsid w:val="007B62CB"/>
    <w:rsid w:val="00A21A93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F8CA-7AB9-416A-A316-925D742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1A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1A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37424EF93C3200306DCE1A6D9CB378C9D47CF5DC2D65CED433558D305920A056E98D5390AD3E9556C509651CDCFC27B33BB50A01A317C65A5DE2x5s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B37424EF93C3200306DCE1A6D9CB378C9D47CF5DC286DCAD133558D305920A056E98D5390AD3E9556C7096F1CDCFC27B33BB50A01A317C65A5DE2x5s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73C30C01C0BB7AC18370FDDF223294873502D2605F75E016EFDF1B80F17BC05BC50978178DB361E634xBs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5B37424EF93C32003073C30C01C0BB7AC18370FDDE223294873502D2605F75E016EFD810D5A338965D9259224285AE62F836B3151DA310xDsB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5B37424EF93C3200306DCE1A6D9CB378C9D47CF5DF2E62C9D533558D305920A056E98D5390AD3E9556C60F621CDCFC27B33BB50A01A317C65A5DE2x5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1</cp:revision>
  <dcterms:created xsi:type="dcterms:W3CDTF">2023-05-31T09:44:00Z</dcterms:created>
  <dcterms:modified xsi:type="dcterms:W3CDTF">2023-05-31T09:45:00Z</dcterms:modified>
</cp:coreProperties>
</file>