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77" w:rsidRDefault="004173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73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377" w:rsidRDefault="00417377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377" w:rsidRDefault="00417377">
            <w:pPr>
              <w:pStyle w:val="ConsPlusNormal"/>
              <w:jc w:val="right"/>
            </w:pPr>
            <w:r>
              <w:t>N 117-ГД</w:t>
            </w:r>
          </w:p>
        </w:tc>
      </w:tr>
    </w:tbl>
    <w:p w:rsidR="00417377" w:rsidRDefault="00417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Title"/>
        <w:jc w:val="center"/>
      </w:pPr>
      <w:r>
        <w:t>ЗАКОН</w:t>
      </w:r>
    </w:p>
    <w:p w:rsidR="00417377" w:rsidRDefault="00417377">
      <w:pPr>
        <w:pStyle w:val="ConsPlusTitle"/>
        <w:jc w:val="center"/>
      </w:pPr>
      <w:r>
        <w:t>САМАРСКОЙ ОБЛАСТИ</w:t>
      </w:r>
    </w:p>
    <w:p w:rsidR="00417377" w:rsidRDefault="00417377">
      <w:pPr>
        <w:pStyle w:val="ConsPlusTitle"/>
        <w:jc w:val="center"/>
      </w:pPr>
    </w:p>
    <w:p w:rsidR="00417377" w:rsidRDefault="00417377">
      <w:pPr>
        <w:pStyle w:val="ConsPlusTitle"/>
        <w:jc w:val="center"/>
      </w:pPr>
      <w:r>
        <w:t>ОБ УСТАНОВЛЕНИИ ПРАВОВЫХ ОСНОВ ПРОВЕДЕНИЯ ОРГАНАМИ МЕСТНОГО</w:t>
      </w:r>
    </w:p>
    <w:p w:rsidR="00417377" w:rsidRDefault="00417377">
      <w:pPr>
        <w:pStyle w:val="ConsPlusTitle"/>
        <w:jc w:val="center"/>
      </w:pPr>
      <w:r>
        <w:t>САМОУПРАВЛЕНИЯ В САМАРСКОЙ ОБЛАСТИ ОЦЕНКИ РЕГУЛИРУЮЩЕГО</w:t>
      </w:r>
    </w:p>
    <w:p w:rsidR="00417377" w:rsidRDefault="00417377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417377" w:rsidRDefault="00417377">
      <w:pPr>
        <w:pStyle w:val="ConsPlusTitle"/>
        <w:jc w:val="center"/>
      </w:pPr>
      <w:r>
        <w:t>АКТОВ, ЗАТРАГИВАЮЩИХ ВОПРОСЫ ОСУЩЕСТВЛЕНИЯ</w:t>
      </w:r>
    </w:p>
    <w:p w:rsidR="00417377" w:rsidRDefault="00417377">
      <w:pPr>
        <w:pStyle w:val="ConsPlusTitle"/>
        <w:jc w:val="center"/>
      </w:pPr>
      <w:r>
        <w:t>ПРЕДПРИНИМАТЕЛЬСКОЙ И ИНВЕСТИЦИОННОЙ ДЕЯТЕЛЬНОСТИ,</w:t>
      </w:r>
    </w:p>
    <w:p w:rsidR="00417377" w:rsidRDefault="00417377">
      <w:pPr>
        <w:pStyle w:val="ConsPlusTitle"/>
        <w:jc w:val="center"/>
      </w:pPr>
      <w:r>
        <w:t>И ЭКСПЕРТИЗЫ МУНИЦИПАЛЬНЫХ НОРМАТИВНЫХ ПРАВОВЫХ АКТОВ,</w:t>
      </w:r>
    </w:p>
    <w:p w:rsidR="00417377" w:rsidRDefault="00417377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417377" w:rsidRDefault="00417377">
      <w:pPr>
        <w:pStyle w:val="ConsPlusTitle"/>
        <w:jc w:val="center"/>
      </w:pPr>
      <w:r>
        <w:t>И ИНВЕСТИЦИОННОЙ ДЕЯТЕЛЬНОСТИ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jc w:val="right"/>
      </w:pPr>
      <w:proofErr w:type="gramStart"/>
      <w:r>
        <w:t>Принят</w:t>
      </w:r>
      <w:proofErr w:type="gramEnd"/>
    </w:p>
    <w:p w:rsidR="00417377" w:rsidRDefault="00417377">
      <w:pPr>
        <w:pStyle w:val="ConsPlusNormal"/>
        <w:jc w:val="right"/>
      </w:pPr>
      <w:r>
        <w:t>Самарской Губернской Думой</w:t>
      </w:r>
    </w:p>
    <w:p w:rsidR="00417377" w:rsidRDefault="00417377">
      <w:pPr>
        <w:pStyle w:val="ConsPlusNormal"/>
        <w:jc w:val="right"/>
      </w:pPr>
      <w:r>
        <w:t>28 октября 2014 года</w:t>
      </w:r>
    </w:p>
    <w:p w:rsidR="00417377" w:rsidRDefault="00417377">
      <w:pPr>
        <w:pStyle w:val="ConsPlusNormal"/>
        <w:jc w:val="center"/>
      </w:pPr>
      <w:r>
        <w:t>Список изменяющих документов</w:t>
      </w:r>
    </w:p>
    <w:p w:rsidR="00417377" w:rsidRDefault="00417377">
      <w:pPr>
        <w:pStyle w:val="ConsPlusNormal"/>
        <w:jc w:val="center"/>
      </w:pPr>
      <w:proofErr w:type="gramStart"/>
      <w:r>
        <w:t xml:space="preserve">(в ред. Законов Самарской области от 09.03.2016 </w:t>
      </w:r>
      <w:hyperlink r:id="rId4" w:history="1">
        <w:r>
          <w:rPr>
            <w:color w:val="0000FF"/>
          </w:rPr>
          <w:t>N 37-ГД</w:t>
        </w:r>
      </w:hyperlink>
      <w:r>
        <w:t>,</w:t>
      </w:r>
      <w:proofErr w:type="gramEnd"/>
    </w:p>
    <w:p w:rsidR="00417377" w:rsidRDefault="00417377">
      <w:pPr>
        <w:pStyle w:val="ConsPlusNormal"/>
        <w:jc w:val="center"/>
      </w:pPr>
      <w:r>
        <w:t xml:space="preserve">от 11.07.2016 </w:t>
      </w:r>
      <w:hyperlink r:id="rId5" w:history="1">
        <w:r>
          <w:rPr>
            <w:color w:val="0000FF"/>
          </w:rPr>
          <w:t>N 105-ГД</w:t>
        </w:r>
      </w:hyperlink>
      <w:r>
        <w:t>)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со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устанавливаются правовые основы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17377" w:rsidRDefault="00417377">
      <w:pPr>
        <w:pStyle w:val="ConsPlusNormal"/>
        <w:ind w:firstLine="540"/>
        <w:jc w:val="both"/>
      </w:pPr>
      <w:proofErr w:type="gramStart"/>
      <w:r>
        <w:t>оценка регулирующего воздействия проекта муниципального нормативного правового акта (далее - оценка регулирующего воздействия)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>экспертиза муниципального нормативного правового акта (далее - экспертиза) - процедура, направленная на выявление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417377" w:rsidRDefault="00417377">
      <w:pPr>
        <w:pStyle w:val="ConsPlusNormal"/>
        <w:ind w:firstLine="540"/>
        <w:jc w:val="both"/>
      </w:pPr>
      <w:r>
        <w:t xml:space="preserve">уполномоченный орган - орган местного самоуправления муниципального образования, уполномоченный на проведение оценки регулирующего воздействия и </w:t>
      </w:r>
      <w:r>
        <w:lastRenderedPageBreak/>
        <w:t>экспертизы (далее - уполномоченный орган);</w:t>
      </w:r>
    </w:p>
    <w:p w:rsidR="00417377" w:rsidRDefault="00417377">
      <w:pPr>
        <w:pStyle w:val="ConsPlusNormal"/>
        <w:ind w:firstLine="540"/>
        <w:jc w:val="both"/>
      </w:pPr>
      <w:proofErr w:type="gramStart"/>
      <w: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муниципальных образований в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>
        <w:t>саморегулируемые</w:t>
      </w:r>
      <w:proofErr w:type="spellEnd"/>
      <w:r>
        <w:t xml:space="preserve">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области;</w:t>
      </w:r>
    </w:p>
    <w:p w:rsidR="00417377" w:rsidRDefault="00417377">
      <w:pPr>
        <w:pStyle w:val="ConsPlusNormal"/>
        <w:ind w:firstLine="540"/>
        <w:jc w:val="both"/>
      </w:pPr>
      <w:r>
        <w:t>разработчик проекта муниципального нормативного правового акта - депутат представительного органа муниципального образования, глава муниципального образования, иной выборный орган местного самоуправления, глава местной администрации, орган территориального общественного самоуправления, инициативная группа граждан, а также иной субъект правотворческой инициативы, установленный уставом муниципального образования.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3. Цели и задачи оценки регулирующего воздействия проекта муниципального нормативного правового акта и экспертизы муниципального нормативного правового акта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r>
        <w:t>1.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417377" w:rsidRDefault="00417377">
      <w:pPr>
        <w:pStyle w:val="ConsPlusNormal"/>
        <w:ind w:firstLine="540"/>
        <w:jc w:val="both"/>
      </w:pPr>
      <w:r>
        <w:t>2. При проведении оценки регулирующего воздействия и экспертизы проводятся публичные консультации.</w:t>
      </w:r>
    </w:p>
    <w:p w:rsidR="00417377" w:rsidRDefault="00417377">
      <w:pPr>
        <w:pStyle w:val="ConsPlusNormal"/>
        <w:ind w:firstLine="540"/>
        <w:jc w:val="both"/>
      </w:pPr>
      <w:r>
        <w:t>3. Задачами проведения публичных консультаций по проектам муниципальных нормативных правовых актов являются:</w:t>
      </w:r>
    </w:p>
    <w:p w:rsidR="00417377" w:rsidRDefault="00417377">
      <w:pPr>
        <w:pStyle w:val="ConsPlusNormal"/>
        <w:ind w:firstLine="540"/>
        <w:jc w:val="both"/>
      </w:pPr>
      <w:r>
        <w:t>а) максимальное вовлечение в процесс обсуждения проектов муниципальных нормативных правовых актов участников публичных консультаций, а также учет их интересов;</w:t>
      </w:r>
    </w:p>
    <w:p w:rsidR="00417377" w:rsidRDefault="00417377">
      <w:pPr>
        <w:pStyle w:val="ConsPlusNormal"/>
        <w:ind w:firstLine="540"/>
        <w:jc w:val="both"/>
      </w:pPr>
      <w:r>
        <w:t>б) обеспечение прозрачности процедур разработки проектов муниципальных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417377" w:rsidRDefault="00417377">
      <w:pPr>
        <w:pStyle w:val="ConsPlusNormal"/>
        <w:ind w:firstLine="540"/>
        <w:jc w:val="both"/>
      </w:pPr>
      <w:r>
        <w:t>в) установление сроков обсуждения проектов муниципальных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4. Оценка регулирующего воздействия проекта муниципального нормативного правового акта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r>
        <w:t>1. Оценка регулирующего воздействия проводится разработчиком проекта муниципального нормативного правового акта и уполномоченным органом в порядке, предусмотренном муниципальными нормативными правовыми актами.</w:t>
      </w:r>
    </w:p>
    <w:p w:rsidR="00417377" w:rsidRDefault="00417377">
      <w:pPr>
        <w:pStyle w:val="ConsPlusNormal"/>
        <w:ind w:firstLine="540"/>
        <w:jc w:val="both"/>
      </w:pPr>
      <w:r>
        <w:lastRenderedPageBreak/>
        <w:t>1.1. Оценка регулирующего воздействия не проводится в отношении:</w:t>
      </w:r>
    </w:p>
    <w:p w:rsidR="00417377" w:rsidRDefault="00417377">
      <w:pPr>
        <w:pStyle w:val="ConsPlusNormal"/>
        <w:ind w:firstLine="540"/>
        <w:jc w:val="both"/>
      </w:pPr>
      <w: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17377" w:rsidRDefault="00417377">
      <w:pPr>
        <w:pStyle w:val="ConsPlusNormal"/>
        <w:ind w:firstLine="540"/>
        <w:jc w:val="both"/>
      </w:pPr>
      <w:r>
        <w:t>б)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417377" w:rsidRDefault="00417377">
      <w:pPr>
        <w:pStyle w:val="ConsPlusNormal"/>
        <w:jc w:val="both"/>
      </w:pPr>
      <w:r>
        <w:t xml:space="preserve">(часть 1.1 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09.03.2016 N 37-ГД)</w:t>
      </w:r>
    </w:p>
    <w:p w:rsidR="00417377" w:rsidRDefault="00417377">
      <w:pPr>
        <w:pStyle w:val="ConsPlusNormal"/>
        <w:ind w:firstLine="540"/>
        <w:jc w:val="both"/>
      </w:pPr>
      <w:r>
        <w:t>2. 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акта:</w:t>
      </w:r>
    </w:p>
    <w:p w:rsidR="00417377" w:rsidRDefault="00417377">
      <w:pPr>
        <w:pStyle w:val="ConsPlusNormal"/>
        <w:ind w:firstLine="540"/>
        <w:jc w:val="both"/>
      </w:pPr>
      <w:bookmarkStart w:id="0" w:name="P54"/>
      <w:bookmarkEnd w:id="0"/>
      <w:proofErr w:type="gramStart"/>
      <w: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муниципальными</w:t>
      </w:r>
      <w:proofErr w:type="gramEnd"/>
      <w:r>
        <w:t xml:space="preserve"> нормативными правовыми актами расходов субъектов предпринимательской и инвестиционной деятельности и местного бюджета;</w:t>
      </w:r>
    </w:p>
    <w:p w:rsidR="00417377" w:rsidRDefault="00417377">
      <w:pPr>
        <w:pStyle w:val="ConsPlusNormal"/>
        <w:ind w:firstLine="540"/>
        <w:jc w:val="both"/>
      </w:pPr>
      <w:bookmarkStart w:id="1" w:name="P55"/>
      <w:bookmarkEnd w:id="1"/>
      <w:proofErr w:type="gramStart"/>
      <w: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>
        <w:t xml:space="preserve"> и инвестиционной деятельности, и (или) положения, приводящие к увеличению ранее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</w:p>
    <w:p w:rsidR="00417377" w:rsidRDefault="00417377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54" w:history="1">
        <w:r>
          <w:rPr>
            <w:color w:val="0000FF"/>
          </w:rPr>
          <w:t>пунктами "а"</w:t>
        </w:r>
      </w:hyperlink>
      <w:r>
        <w:t xml:space="preserve"> и </w:t>
      </w:r>
      <w:hyperlink w:anchor="P55" w:history="1">
        <w:r>
          <w:rPr>
            <w:color w:val="0000FF"/>
          </w:rPr>
          <w:t>"б" части 2</w:t>
        </w:r>
      </w:hyperlink>
      <w:r>
        <w:t xml:space="preserve"> настоящей статьи. </w:t>
      </w:r>
      <w:proofErr w:type="gramStart"/>
      <w: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>3. Оценка регулирующего воздействия включает следующие этапы:</w:t>
      </w:r>
    </w:p>
    <w:p w:rsidR="00417377" w:rsidRDefault="00417377">
      <w:pPr>
        <w:pStyle w:val="ConsPlusNormal"/>
        <w:ind w:firstLine="540"/>
        <w:jc w:val="both"/>
      </w:pPr>
      <w:r>
        <w:t>а) проведение разработчиком проекта муниципального нормативного правового акта публичных консультаций по проекту нормативного правового акта;</w:t>
      </w:r>
    </w:p>
    <w:p w:rsidR="00417377" w:rsidRDefault="00417377">
      <w:pPr>
        <w:pStyle w:val="ConsPlusNormal"/>
        <w:ind w:firstLine="540"/>
        <w:jc w:val="both"/>
      </w:pPr>
      <w:r>
        <w:t>б) подготовка разработчиком проекта муниципального нормативного правового акта отчета о проведении оценки регулирующего воздействия;</w:t>
      </w:r>
    </w:p>
    <w:p w:rsidR="00417377" w:rsidRDefault="00417377">
      <w:pPr>
        <w:pStyle w:val="ConsPlusNormal"/>
        <w:ind w:firstLine="540"/>
        <w:jc w:val="both"/>
      </w:pPr>
      <w:r>
        <w:t>в) подготовка уполномоченным органом заключения об оценке регулирующего воздействия.</w:t>
      </w:r>
    </w:p>
    <w:p w:rsidR="00417377" w:rsidRDefault="00417377">
      <w:pPr>
        <w:pStyle w:val="ConsPlusNormal"/>
        <w:ind w:firstLine="540"/>
        <w:jc w:val="both"/>
      </w:pPr>
      <w:r>
        <w:t>4. Срок, в течение которого разработчиком проекта муниципального нормативного правового акта принимаются предложения по проекту муниципального нормативного правового акта, устанавливается муниципальным нормативным правовым актом с учетом степени регулирующего воздействия положений, содержащихся в проекте муниципального нормативного правового акта.</w:t>
      </w:r>
    </w:p>
    <w:p w:rsidR="00417377" w:rsidRDefault="00417377">
      <w:pPr>
        <w:pStyle w:val="ConsPlusNormal"/>
        <w:ind w:firstLine="540"/>
        <w:jc w:val="both"/>
      </w:pPr>
      <w:r>
        <w:lastRenderedPageBreak/>
        <w:t>5. Публичные консультации могут включать 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417377" w:rsidRDefault="00417377">
      <w:pPr>
        <w:pStyle w:val="ConsPlusNormal"/>
        <w:ind w:firstLine="540"/>
        <w:jc w:val="both"/>
      </w:pPr>
      <w:r>
        <w:t xml:space="preserve">6. </w:t>
      </w:r>
      <w:proofErr w:type="gramStart"/>
      <w:r>
        <w:t>Предложения, полученные в ходе общественного обсуждения проекта муниципального нормативного правового акта, фиксируются разработчиком проекта муниципального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>7. По результатам анализа предложений разработчик проекта муниципального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417377" w:rsidRDefault="00417377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 xml:space="preserve">9. </w:t>
      </w:r>
      <w:proofErr w:type="gramStart"/>
      <w:r>
        <w:t>На основании отчета о проведении оценки регулирующего воздействия уполномоченным органом подготавливается заключение об оценке регулирующего воздействия, в котором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t xml:space="preserve"> местного бюджета.</w:t>
      </w:r>
    </w:p>
    <w:p w:rsidR="00417377" w:rsidRDefault="00417377">
      <w:pPr>
        <w:pStyle w:val="ConsPlusNormal"/>
        <w:ind w:firstLine="540"/>
        <w:jc w:val="both"/>
      </w:pPr>
      <w:r>
        <w:t>10.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правового акта может принять одно из следующих решений:</w:t>
      </w:r>
    </w:p>
    <w:p w:rsidR="00417377" w:rsidRDefault="00417377">
      <w:pPr>
        <w:pStyle w:val="ConsPlusNormal"/>
        <w:ind w:firstLine="540"/>
        <w:jc w:val="both"/>
      </w:pPr>
      <w:r>
        <w:t>а) внести проект муниципального нормативного правового акта на рассмотрение органа местного самоуправления (должностного лица), уполномоченного на его принятие;</w:t>
      </w:r>
    </w:p>
    <w:p w:rsidR="00417377" w:rsidRDefault="00417377">
      <w:pPr>
        <w:pStyle w:val="ConsPlusNormal"/>
        <w:ind w:firstLine="540"/>
        <w:jc w:val="both"/>
      </w:pPr>
      <w:r>
        <w:t>б) доработать проект муниципального нормативного правового акта и внести его на рассмотрение органа местного самоуправления (должностного лица), уполномоченного на его принятие.</w:t>
      </w:r>
    </w:p>
    <w:p w:rsidR="00417377" w:rsidRDefault="00417377">
      <w:pPr>
        <w:pStyle w:val="ConsPlusNormal"/>
        <w:ind w:firstLine="540"/>
        <w:jc w:val="both"/>
      </w:pPr>
      <w:proofErr w:type="gramStart"/>
      <w:r>
        <w:t>Если в результате доработки проекта муниципального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муниципального нормативного правового акта изначально при проведении оценки регулирующего воздействия,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муниципальным нормативным правовым</w:t>
      </w:r>
      <w:proofErr w:type="gramEnd"/>
      <w:r>
        <w:t xml:space="preserve"> актом и требованиями настоящего Закона;</w:t>
      </w:r>
    </w:p>
    <w:p w:rsidR="00417377" w:rsidRDefault="00417377">
      <w:pPr>
        <w:pStyle w:val="ConsPlusNormal"/>
        <w:ind w:firstLine="540"/>
        <w:jc w:val="both"/>
      </w:pPr>
      <w:r>
        <w:t>в) отказаться от внесения проекта муниципального нормативного правового акта на рассмотрение органа местного самоуправления (должностного лица), уполномоченного на его принятие.</w:t>
      </w:r>
    </w:p>
    <w:p w:rsidR="00417377" w:rsidRDefault="00417377">
      <w:pPr>
        <w:pStyle w:val="ConsPlusNormal"/>
        <w:ind w:firstLine="540"/>
        <w:jc w:val="both"/>
      </w:pPr>
      <w:r>
        <w:t xml:space="preserve">11. Принятие муниципального нормативного правового акта, затрагивающего вопросы осуществления предпринимательской и инвестиционной деятельности, без </w:t>
      </w:r>
      <w:r>
        <w:lastRenderedPageBreak/>
        <w:t>заключения уполномоченного органа об оценке регулирующего воздействия не допускается.</w:t>
      </w:r>
    </w:p>
    <w:p w:rsidR="00417377" w:rsidRDefault="00417377">
      <w:pPr>
        <w:pStyle w:val="ConsPlusNormal"/>
        <w:ind w:firstLine="540"/>
        <w:jc w:val="both"/>
      </w:pPr>
      <w:r>
        <w:t>12. Сроки подготовки разработчиком проекта муниципального нормативного правового акта отчета о проведении оценки регулирующего воздействия и уполномоченным органом заключения об оценке регулирующего воздействия устанавливаются муниципальным нормативным правовым актом.</w:t>
      </w:r>
    </w:p>
    <w:p w:rsidR="00417377" w:rsidRDefault="00417377">
      <w:pPr>
        <w:pStyle w:val="ConsPlusNormal"/>
        <w:ind w:firstLine="540"/>
        <w:jc w:val="both"/>
      </w:pPr>
      <w:r>
        <w:t>13. Формы свода предложений, полученных по результатам публичных консультаций, отчета разработчика о проведении оценки регулирующего воздействия, заключения уполномоченного органа об оценке регулирующего воздействия устанавливаются муниципальным нормативным правовым актом.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5. Экспертиза муниципального нормативного правового акта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r>
        <w:t>1. Экспертиза проводится уполномоченным органом в порядке, предусмотренном муниципальным нормативным правовым актом.</w:t>
      </w:r>
    </w:p>
    <w:p w:rsidR="00417377" w:rsidRDefault="00417377">
      <w:pPr>
        <w:pStyle w:val="ConsPlusNormal"/>
        <w:ind w:firstLine="540"/>
        <w:jc w:val="both"/>
      </w:pPr>
      <w:r>
        <w:t>2. Экспертиза включает следующие этапы:</w:t>
      </w:r>
    </w:p>
    <w:p w:rsidR="00417377" w:rsidRDefault="00417377">
      <w:pPr>
        <w:pStyle w:val="ConsPlusNormal"/>
        <w:ind w:firstLine="540"/>
        <w:jc w:val="both"/>
      </w:pPr>
      <w:r>
        <w:t>а) проведение публичных консультаций по муниципальному нормативному правовому акту;</w:t>
      </w:r>
    </w:p>
    <w:p w:rsidR="00417377" w:rsidRDefault="00417377">
      <w:pPr>
        <w:pStyle w:val="ConsPlusNormal"/>
        <w:ind w:firstLine="540"/>
        <w:jc w:val="both"/>
      </w:pPr>
      <w:r>
        <w:t>б) подготовка отчета о проведении экспертизы.</w:t>
      </w:r>
    </w:p>
    <w:p w:rsidR="00417377" w:rsidRDefault="00417377">
      <w:pPr>
        <w:pStyle w:val="ConsPlusNormal"/>
        <w:ind w:firstLine="540"/>
        <w:jc w:val="both"/>
      </w:pPr>
      <w:r>
        <w:t>3. Срок, в течение которого уполномоченным органом проводятся публичные консультации по муниципальному нормативному правовому акту, определяется в порядке, установленном муниципальным нормативным правовым актом.</w:t>
      </w:r>
    </w:p>
    <w:p w:rsidR="00417377" w:rsidRDefault="00417377">
      <w:pPr>
        <w:pStyle w:val="ConsPlusNormal"/>
        <w:ind w:firstLine="540"/>
        <w:jc w:val="both"/>
      </w:pPr>
      <w:r>
        <w:t>4. Публичные консультации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</w:p>
    <w:p w:rsidR="00417377" w:rsidRDefault="00417377">
      <w:pPr>
        <w:pStyle w:val="ConsPlusNormal"/>
        <w:ind w:firstLine="540"/>
        <w:jc w:val="both"/>
      </w:pPr>
      <w:r>
        <w:t>5. Подготовка отчета о проведении экспертизы осуществляется с учетом результатов анализа:</w:t>
      </w:r>
    </w:p>
    <w:p w:rsidR="00417377" w:rsidRDefault="00417377">
      <w:pPr>
        <w:pStyle w:val="ConsPlusNormal"/>
        <w:ind w:firstLine="540"/>
        <w:jc w:val="both"/>
      </w:pPr>
      <w:r>
        <w:t>а) мнений, предложений, документов и материалов, поступивших в уполномоченный орган в процессе проведения публичных консультаций по муниципальному нормативному правовому акту;</w:t>
      </w:r>
    </w:p>
    <w:p w:rsidR="00417377" w:rsidRDefault="00417377">
      <w:pPr>
        <w:pStyle w:val="ConsPlusNormal"/>
        <w:ind w:firstLine="540"/>
        <w:jc w:val="both"/>
      </w:pPr>
      <w:r>
        <w:t>б) положений муниципального нормативного правового акта во взаимосвязи со сложившейся практикой их применения.</w:t>
      </w:r>
    </w:p>
    <w:p w:rsidR="00417377" w:rsidRDefault="00417377">
      <w:pPr>
        <w:pStyle w:val="ConsPlusNormal"/>
        <w:ind w:firstLine="540"/>
        <w:jc w:val="both"/>
      </w:pPr>
      <w:r>
        <w:t>6. Отчет о проведении экспертизы должен содержать:</w:t>
      </w:r>
    </w:p>
    <w:p w:rsidR="00417377" w:rsidRDefault="00417377">
      <w:pPr>
        <w:pStyle w:val="ConsPlusNormal"/>
        <w:ind w:firstLine="540"/>
        <w:jc w:val="both"/>
      </w:pPr>
      <w:r>
        <w:t>а) выводы о наличии либо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417377" w:rsidRDefault="00417377">
      <w:pPr>
        <w:pStyle w:val="ConsPlusNormal"/>
        <w:ind w:firstLine="540"/>
        <w:jc w:val="both"/>
      </w:pPr>
      <w:proofErr w:type="gramStart"/>
      <w:r>
        <w:t>б) при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муниципального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417377" w:rsidRDefault="00417377">
      <w:pPr>
        <w:pStyle w:val="ConsPlusNormal"/>
        <w:ind w:firstLine="540"/>
        <w:jc w:val="both"/>
      </w:pPr>
      <w:r>
        <w:t>7. Срок, в течение которого уполномоченным органом подготавливается отчет о проведении экспертизы, устанавливается муниципальным нормативным правовым актом.</w:t>
      </w:r>
    </w:p>
    <w:p w:rsidR="00417377" w:rsidRDefault="00417377">
      <w:pPr>
        <w:pStyle w:val="ConsPlusNormal"/>
        <w:ind w:firstLine="540"/>
        <w:jc w:val="both"/>
      </w:pPr>
      <w:r>
        <w:t>8. Требования о направлении уполномоченным органом отчета о проведении экспертизы в орган местного самоуправления, принявший соответствующий муниципальный нормативный правовой акт, сроки рассмотрения и принятия решения по результатам экспертизы устанавливаются муниципальным нормативным правовым актом.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lastRenderedPageBreak/>
        <w:t>Статья 5.1. Перечень муниципальных районов и городских округов, в которых проведение оценки регулирующего воздействия и экспертизы является обязательным</w:t>
      </w:r>
    </w:p>
    <w:p w:rsidR="00417377" w:rsidRDefault="004173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Самарской области от 11.07.2016 N 105-ГД)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bookmarkStart w:id="2" w:name="P96"/>
      <w:bookmarkEnd w:id="2"/>
      <w:r>
        <w:t>1. В целях необходимости обеспечения равных условий для осуществления предпринимательской и инвестиционной деятельности на территориях муниципальных образований в Самарской области оценка регулирующего воздействия и экспертиза должны проводиться в городских округах и муниципальных районах, удовлетворяющих одному или всем из следующих критериев:</w:t>
      </w:r>
    </w:p>
    <w:p w:rsidR="00417377" w:rsidRDefault="00417377">
      <w:pPr>
        <w:pStyle w:val="ConsPlusNormal"/>
        <w:ind w:firstLine="540"/>
        <w:jc w:val="both"/>
      </w:pPr>
      <w:r>
        <w:t>1) наличие заключенных соглашений с органами местного самоуправления отдельных поселений о передаче органам местного самоуправления муниципального района осуществления части своих полномочий по решению вопросов местного значения;</w:t>
      </w:r>
    </w:p>
    <w:p w:rsidR="00417377" w:rsidRDefault="00417377">
      <w:pPr>
        <w:pStyle w:val="ConsPlusNormal"/>
        <w:ind w:firstLine="540"/>
        <w:jc w:val="both"/>
      </w:pPr>
      <w:proofErr w:type="gramStart"/>
      <w:r>
        <w:t xml:space="preserve">2) наличие переданных органам местного самоуправления городских округов и муниципальных районов в Самарской области отдельных государственных полномочий в сферах градостроительной деятельности и рекламы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Самарской области от 29 декабря 2014 года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</w:t>
      </w:r>
      <w:proofErr w:type="gramEnd"/>
      <w:r>
        <w:t xml:space="preserve">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</w:t>
      </w:r>
      <w:hyperlink r:id="rId11" w:history="1">
        <w:r>
          <w:rPr>
            <w:color w:val="0000FF"/>
          </w:rPr>
          <w:t>статью 1</w:t>
        </w:r>
      </w:hyperlink>
      <w:r>
        <w:t xml:space="preserve"> Закона Самарской области "О закреплении вопросов местного значения за сельскими поселениями Самарской области".</w:t>
      </w:r>
    </w:p>
    <w:p w:rsidR="00417377" w:rsidRDefault="00417377">
      <w:pPr>
        <w:pStyle w:val="ConsPlusNormal"/>
        <w:ind w:firstLine="540"/>
        <w:jc w:val="both"/>
      </w:pPr>
      <w:r>
        <w:t xml:space="preserve">2. С учетом </w:t>
      </w:r>
      <w:hyperlink w:anchor="P96" w:history="1">
        <w:r>
          <w:rPr>
            <w:color w:val="0000FF"/>
          </w:rPr>
          <w:t>части 1</w:t>
        </w:r>
      </w:hyperlink>
      <w:r>
        <w:t xml:space="preserve"> настоящей статьи оценка регулирующего воздействия и экспертиза должны проводиться в следующих муниципальных образованиях в Самарской области:</w:t>
      </w:r>
    </w:p>
    <w:p w:rsidR="00417377" w:rsidRDefault="00417377">
      <w:pPr>
        <w:pStyle w:val="ConsPlusNormal"/>
        <w:ind w:firstLine="540"/>
        <w:jc w:val="both"/>
      </w:pPr>
      <w:r>
        <w:t>1) городской округ Тольятти;</w:t>
      </w:r>
    </w:p>
    <w:p w:rsidR="00417377" w:rsidRDefault="00417377">
      <w:pPr>
        <w:pStyle w:val="ConsPlusNormal"/>
        <w:ind w:firstLine="540"/>
        <w:jc w:val="both"/>
      </w:pPr>
      <w:r>
        <w:t>2) городской округ Жигулевск;</w:t>
      </w:r>
    </w:p>
    <w:p w:rsidR="00417377" w:rsidRDefault="00417377">
      <w:pPr>
        <w:pStyle w:val="ConsPlusNormal"/>
        <w:ind w:firstLine="540"/>
        <w:jc w:val="both"/>
      </w:pPr>
      <w:r>
        <w:t xml:space="preserve">3) городской округ </w:t>
      </w:r>
      <w:proofErr w:type="spellStart"/>
      <w:r>
        <w:t>Кинель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>4) городской округ Новокуйбышевск;</w:t>
      </w:r>
    </w:p>
    <w:p w:rsidR="00417377" w:rsidRDefault="00417377">
      <w:pPr>
        <w:pStyle w:val="ConsPlusNormal"/>
        <w:ind w:firstLine="540"/>
        <w:jc w:val="both"/>
      </w:pPr>
      <w:r>
        <w:t>5) городской округ Октябрьск;</w:t>
      </w:r>
    </w:p>
    <w:p w:rsidR="00417377" w:rsidRDefault="00417377">
      <w:pPr>
        <w:pStyle w:val="ConsPlusNormal"/>
        <w:ind w:firstLine="540"/>
        <w:jc w:val="both"/>
      </w:pPr>
      <w:r>
        <w:t>6) городской округ Отрадный;</w:t>
      </w:r>
    </w:p>
    <w:p w:rsidR="00417377" w:rsidRDefault="00417377">
      <w:pPr>
        <w:pStyle w:val="ConsPlusNormal"/>
        <w:ind w:firstLine="540"/>
        <w:jc w:val="both"/>
      </w:pPr>
      <w:r>
        <w:t>7) городской округ Похвистнево;</w:t>
      </w:r>
    </w:p>
    <w:p w:rsidR="00417377" w:rsidRDefault="00417377">
      <w:pPr>
        <w:pStyle w:val="ConsPlusNormal"/>
        <w:ind w:firstLine="540"/>
        <w:jc w:val="both"/>
      </w:pPr>
      <w:r>
        <w:t>8) городской округ Сызрань;</w:t>
      </w:r>
    </w:p>
    <w:p w:rsidR="00417377" w:rsidRDefault="00417377">
      <w:pPr>
        <w:pStyle w:val="ConsPlusNormal"/>
        <w:ind w:firstLine="540"/>
        <w:jc w:val="both"/>
      </w:pPr>
      <w:r>
        <w:t>9) городской округ Чапаевск;</w:t>
      </w:r>
    </w:p>
    <w:p w:rsidR="00417377" w:rsidRDefault="00417377">
      <w:pPr>
        <w:pStyle w:val="ConsPlusNormal"/>
        <w:ind w:firstLine="540"/>
        <w:jc w:val="both"/>
      </w:pPr>
      <w:r>
        <w:t>10) муниципальный район Алексеевский;</w:t>
      </w:r>
    </w:p>
    <w:p w:rsidR="00417377" w:rsidRDefault="00417377">
      <w:pPr>
        <w:pStyle w:val="ConsPlusNormal"/>
        <w:ind w:firstLine="540"/>
        <w:jc w:val="both"/>
      </w:pPr>
      <w:r>
        <w:t xml:space="preserve">11) муниципальный район </w:t>
      </w:r>
      <w:proofErr w:type="spellStart"/>
      <w:r>
        <w:t>Безенчукский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12) муниципальный район </w:t>
      </w:r>
      <w:proofErr w:type="spellStart"/>
      <w:r>
        <w:t>Богатовский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13) муниципальный район </w:t>
      </w:r>
      <w:proofErr w:type="spellStart"/>
      <w:r>
        <w:t>Большеглушицкий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14) муниципальный район </w:t>
      </w:r>
      <w:proofErr w:type="spellStart"/>
      <w:r>
        <w:t>Большечерниговский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15) муниципальный район </w:t>
      </w:r>
      <w:proofErr w:type="spellStart"/>
      <w:r>
        <w:t>Борский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>16) муниципальный район Волжский;</w:t>
      </w:r>
    </w:p>
    <w:p w:rsidR="00417377" w:rsidRDefault="00417377">
      <w:pPr>
        <w:pStyle w:val="ConsPlusNormal"/>
        <w:ind w:firstLine="540"/>
        <w:jc w:val="both"/>
      </w:pPr>
      <w:r>
        <w:t xml:space="preserve">17) муниципальный район </w:t>
      </w:r>
      <w:proofErr w:type="spellStart"/>
      <w:r>
        <w:t>Елховский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18) муниципальный район </w:t>
      </w:r>
      <w:proofErr w:type="spellStart"/>
      <w:r>
        <w:t>Исаклинский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19) муниципальный район </w:t>
      </w:r>
      <w:proofErr w:type="spellStart"/>
      <w:r>
        <w:t>Камышлинский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20) муниципальный район </w:t>
      </w:r>
      <w:proofErr w:type="spellStart"/>
      <w:r>
        <w:t>Кинельский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21) муниципальный район </w:t>
      </w:r>
      <w:proofErr w:type="spellStart"/>
      <w:r>
        <w:t>Кинель-Черкасский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22) муниципальный район </w:t>
      </w:r>
      <w:proofErr w:type="spellStart"/>
      <w:r>
        <w:t>Клявлинский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23) муниципальный район </w:t>
      </w:r>
      <w:proofErr w:type="spellStart"/>
      <w:r>
        <w:t>Кошкинский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>24) муниципальный район Красноармейский;</w:t>
      </w:r>
    </w:p>
    <w:p w:rsidR="00417377" w:rsidRDefault="00417377">
      <w:pPr>
        <w:pStyle w:val="ConsPlusNormal"/>
        <w:ind w:firstLine="540"/>
        <w:jc w:val="both"/>
      </w:pPr>
      <w:r>
        <w:t>25) муниципальный район Красноярский;</w:t>
      </w:r>
    </w:p>
    <w:p w:rsidR="00417377" w:rsidRDefault="00417377">
      <w:pPr>
        <w:pStyle w:val="ConsPlusNormal"/>
        <w:ind w:firstLine="540"/>
        <w:jc w:val="both"/>
      </w:pPr>
      <w:r>
        <w:lastRenderedPageBreak/>
        <w:t xml:space="preserve">26) муниципальный район </w:t>
      </w:r>
      <w:proofErr w:type="spellStart"/>
      <w:r>
        <w:t>Нефтегорский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27) муниципальный район </w:t>
      </w:r>
      <w:proofErr w:type="spellStart"/>
      <w:r>
        <w:t>Пестравский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28) муниципальный район </w:t>
      </w:r>
      <w:proofErr w:type="spellStart"/>
      <w:r>
        <w:t>Похвистневский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>29) муниципальный район Приволжский;</w:t>
      </w:r>
    </w:p>
    <w:p w:rsidR="00417377" w:rsidRDefault="00417377">
      <w:pPr>
        <w:pStyle w:val="ConsPlusNormal"/>
        <w:ind w:firstLine="540"/>
        <w:jc w:val="both"/>
      </w:pPr>
      <w:r>
        <w:t>30) муниципальный район Сергиевский;</w:t>
      </w:r>
    </w:p>
    <w:p w:rsidR="00417377" w:rsidRDefault="00417377">
      <w:pPr>
        <w:pStyle w:val="ConsPlusNormal"/>
        <w:ind w:firstLine="540"/>
        <w:jc w:val="both"/>
      </w:pPr>
      <w:r>
        <w:t>31) муниципальный район Ставропольский;</w:t>
      </w:r>
    </w:p>
    <w:p w:rsidR="00417377" w:rsidRDefault="00417377">
      <w:pPr>
        <w:pStyle w:val="ConsPlusNormal"/>
        <w:ind w:firstLine="540"/>
        <w:jc w:val="both"/>
      </w:pPr>
      <w:r>
        <w:t xml:space="preserve">32) муниципальный район </w:t>
      </w:r>
      <w:proofErr w:type="spellStart"/>
      <w:r>
        <w:t>Сызранский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33) муниципальный район </w:t>
      </w:r>
      <w:proofErr w:type="spellStart"/>
      <w:r>
        <w:t>Хворостянский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34) муниципальный район </w:t>
      </w:r>
      <w:proofErr w:type="spellStart"/>
      <w:r>
        <w:t>Челно-Вершинский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35) муниципальный район </w:t>
      </w:r>
      <w:proofErr w:type="spellStart"/>
      <w:r>
        <w:t>Шенталинский</w:t>
      </w:r>
      <w:proofErr w:type="spellEnd"/>
      <w:r>
        <w:t>;</w:t>
      </w:r>
    </w:p>
    <w:p w:rsidR="00417377" w:rsidRDefault="00417377">
      <w:pPr>
        <w:pStyle w:val="ConsPlusNormal"/>
        <w:ind w:firstLine="540"/>
        <w:jc w:val="both"/>
      </w:pPr>
      <w:r>
        <w:t xml:space="preserve">36) муниципальный район </w:t>
      </w:r>
      <w:proofErr w:type="spellStart"/>
      <w:r>
        <w:t>Шигонский</w:t>
      </w:r>
      <w:proofErr w:type="spellEnd"/>
      <w:r>
        <w:t>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применяется в отношении:</w:t>
      </w:r>
    </w:p>
    <w:p w:rsidR="00417377" w:rsidRDefault="00417377">
      <w:pPr>
        <w:pStyle w:val="ConsPlusNormal"/>
        <w:ind w:firstLine="540"/>
        <w:jc w:val="both"/>
      </w:pPr>
      <w:r>
        <w:t>1) муниципального образования городской округ Самара - с 1 января 2015 года;</w:t>
      </w:r>
    </w:p>
    <w:p w:rsidR="00417377" w:rsidRDefault="00417377">
      <w:pPr>
        <w:pStyle w:val="ConsPlusNormal"/>
        <w:ind w:firstLine="540"/>
        <w:jc w:val="both"/>
      </w:pPr>
      <w:r>
        <w:t xml:space="preserve">2) - 3)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Самарской области от 09.03.2016 N 37-ГД.</w:t>
      </w:r>
    </w:p>
    <w:p w:rsidR="00417377" w:rsidRDefault="00417377">
      <w:pPr>
        <w:pStyle w:val="ConsPlusNormal"/>
        <w:jc w:val="both"/>
      </w:pPr>
    </w:p>
    <w:p w:rsidR="00417377" w:rsidRDefault="00417377">
      <w:pPr>
        <w:pStyle w:val="ConsPlusNormal"/>
        <w:jc w:val="right"/>
      </w:pPr>
      <w:r>
        <w:t>Губернатор Самарской области</w:t>
      </w:r>
    </w:p>
    <w:p w:rsidR="00417377" w:rsidRDefault="00417377">
      <w:pPr>
        <w:pStyle w:val="ConsPlusNormal"/>
        <w:jc w:val="right"/>
      </w:pPr>
      <w:r>
        <w:t>Н.И.МЕРКУШКИН</w:t>
      </w:r>
    </w:p>
    <w:p w:rsidR="00417377" w:rsidRDefault="00417377">
      <w:pPr>
        <w:pStyle w:val="ConsPlusNormal"/>
      </w:pPr>
      <w:r>
        <w:t>г. Самара</w:t>
      </w:r>
    </w:p>
    <w:p w:rsidR="00417377" w:rsidRDefault="00417377">
      <w:pPr>
        <w:pStyle w:val="ConsPlusNormal"/>
      </w:pPr>
      <w:r>
        <w:t>14 ноября 2014 года</w:t>
      </w:r>
    </w:p>
    <w:p w:rsidR="00417377" w:rsidRDefault="00417377">
      <w:pPr>
        <w:pStyle w:val="ConsPlusNormal"/>
        <w:rPr>
          <w:lang w:val="en-US"/>
        </w:rPr>
      </w:pPr>
      <w:r>
        <w:t>N 117-ГД</w:t>
      </w:r>
    </w:p>
    <w:p w:rsidR="00417377" w:rsidRPr="00417377" w:rsidRDefault="00417377">
      <w:pPr>
        <w:pStyle w:val="ConsPlusNormal"/>
        <w:rPr>
          <w:lang w:val="en-US"/>
        </w:rPr>
      </w:pPr>
    </w:p>
    <w:sectPr w:rsidR="00417377" w:rsidRPr="00417377" w:rsidSect="002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377"/>
    <w:rsid w:val="001F1734"/>
    <w:rsid w:val="00417377"/>
    <w:rsid w:val="004E3AC3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37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1737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173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0E5EB0D546AB07C515D89D7A1C78A58AADE8337F6BFA52A58F6BE3D356D26262VCB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E9CBAE05921F5732C2940348DC894EAF0C9B10DD91744C21FAD1F0BF3A753CBD1DFCCF28VEB6K" TargetMode="External"/><Relationship Id="rId12" Type="http://schemas.openxmlformats.org/officeDocument/2006/relationships/hyperlink" Target="consultantplus://offline/ref=81E9CBAE05921F5732C28A0E5EB0D546AB07C515D89D7A1C78A58AADE8337F6BFA52A58F6BE3D356D26263VCB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9CBAE05921F5732C2940348DC894EAF0C9B10DD91744C21FAD1F0BF3A753CBD1DFCCF28VEB9K" TargetMode="External"/><Relationship Id="rId11" Type="http://schemas.openxmlformats.org/officeDocument/2006/relationships/hyperlink" Target="consultantplus://offline/ref=81E9CBAE05921F5732C28A0E5EB0D546AB07C515D7937B1A79A58AADE8337F6BFA52A58F6BE3D356D26263VCBBK" TargetMode="External"/><Relationship Id="rId5" Type="http://schemas.openxmlformats.org/officeDocument/2006/relationships/hyperlink" Target="consultantplus://offline/ref=81E9CBAE05921F5732C28A0E5EB0D546AB07C515D797781A78A58AADE8337F6BFA52A58F6BE3D356D26262VCB8K" TargetMode="External"/><Relationship Id="rId10" Type="http://schemas.openxmlformats.org/officeDocument/2006/relationships/hyperlink" Target="consultantplus://offline/ref=81E9CBAE05921F5732C28A0E5EB0D546AB07C515D7937C137EA58AADE8337F6BVFBAK" TargetMode="External"/><Relationship Id="rId4" Type="http://schemas.openxmlformats.org/officeDocument/2006/relationships/hyperlink" Target="consultantplus://offline/ref=81E9CBAE05921F5732C28A0E5EB0D546AB07C515D89D7A1C78A58AADE8337F6BFA52A58F6BE3D356D26262VCB8K" TargetMode="External"/><Relationship Id="rId9" Type="http://schemas.openxmlformats.org/officeDocument/2006/relationships/hyperlink" Target="consultantplus://offline/ref=81E9CBAE05921F5732C28A0E5EB0D546AB07C515D797781A78A58AADE8337F6BFA52A58F6BE3D356D26262V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3074</Words>
  <Characters>17527</Characters>
  <Application>Microsoft Office Word</Application>
  <DocSecurity>0</DocSecurity>
  <Lines>146</Lines>
  <Paragraphs>41</Paragraphs>
  <ScaleCrop>false</ScaleCrop>
  <Company>depfin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2016-11-10T10:01:00Z</dcterms:created>
  <dcterms:modified xsi:type="dcterms:W3CDTF">2016-11-10T10:02:00Z</dcterms:modified>
</cp:coreProperties>
</file>